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61" w:rsidRDefault="00BB53F9">
      <w:pPr>
        <w:spacing w:before="57" w:after="57" w:line="360" w:lineRule="auto"/>
        <w:jc w:val="center"/>
        <w:rPr>
          <w:rFonts w:ascii="Times New Roman" w:hAnsi="Times New Roman"/>
          <w:sz w:val="21"/>
          <w:szCs w:val="21"/>
        </w:rPr>
      </w:pPr>
      <w:r>
        <w:rPr>
          <w:rFonts w:ascii="Times New Roman" w:hAnsi="Times New Roman"/>
          <w:sz w:val="21"/>
          <w:szCs w:val="21"/>
          <w:u w:val="single"/>
        </w:rPr>
        <w:t>Implications of the United Kingdom Leaving the European Union on Climate Change and Energy Law</w:t>
      </w:r>
    </w:p>
    <w:p w:rsidR="00DE6461" w:rsidRDefault="00BB53F9">
      <w:pPr>
        <w:spacing w:before="57" w:after="57" w:line="360" w:lineRule="auto"/>
        <w:jc w:val="center"/>
        <w:rPr>
          <w:rFonts w:ascii="Times New Roman" w:hAnsi="Times New Roman"/>
          <w:sz w:val="21"/>
          <w:szCs w:val="21"/>
        </w:rPr>
      </w:pPr>
      <w:r>
        <w:rPr>
          <w:rFonts w:ascii="Times New Roman" w:hAnsi="Times New Roman"/>
          <w:i/>
          <w:iCs/>
          <w:sz w:val="21"/>
          <w:szCs w:val="21"/>
        </w:rPr>
        <w:t>Paper on behalf of</w:t>
      </w:r>
      <w:bookmarkStart w:id="0" w:name="_GoBack"/>
      <w:bookmarkEnd w:id="0"/>
      <w:r>
        <w:rPr>
          <w:rFonts w:ascii="Times New Roman" w:hAnsi="Times New Roman"/>
          <w:i/>
          <w:iCs/>
          <w:sz w:val="21"/>
          <w:szCs w:val="21"/>
        </w:rPr>
        <w:t xml:space="preserve"> the Climate Change and Energy Working Party, UK Environmental Law Association (UKELA)</w:t>
      </w:r>
    </w:p>
    <w:p w:rsidR="00DE6461" w:rsidRDefault="00DE6461">
      <w:pPr>
        <w:spacing w:before="57" w:after="57" w:line="360" w:lineRule="auto"/>
        <w:jc w:val="center"/>
        <w:rPr>
          <w:rFonts w:ascii="Times New Roman" w:hAnsi="Times New Roman"/>
          <w:i/>
          <w:iCs/>
          <w:sz w:val="21"/>
          <w:szCs w:val="21"/>
        </w:rPr>
      </w:pPr>
    </w:p>
    <w:p w:rsidR="00DE6461" w:rsidRDefault="00BB53F9">
      <w:pPr>
        <w:spacing w:before="57" w:after="57" w:line="360" w:lineRule="auto"/>
        <w:jc w:val="both"/>
        <w:rPr>
          <w:rFonts w:ascii="Times New Roman" w:hAnsi="Times New Roman"/>
          <w:sz w:val="21"/>
          <w:szCs w:val="21"/>
        </w:rPr>
      </w:pPr>
      <w:r>
        <w:rPr>
          <w:rFonts w:ascii="Times New Roman" w:hAnsi="Times New Roman"/>
          <w:sz w:val="21"/>
          <w:szCs w:val="21"/>
        </w:rPr>
        <w:t>Introductory Comments</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The purpose of this document is </w:t>
      </w:r>
      <w:r>
        <w:rPr>
          <w:rFonts w:ascii="Times New Roman" w:hAnsi="Times New Roman"/>
          <w:sz w:val="21"/>
          <w:szCs w:val="21"/>
        </w:rPr>
        <w:t>to chart the possible implications of the United Kingdom exiting the European Union on Climate Change and Energy Law.</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It is at this early stage, of course, of paramount importance to recognise that much of this evaluation is made against a backdrop of unce</w:t>
      </w:r>
      <w:r>
        <w:rPr>
          <w:rFonts w:ascii="Times New Roman" w:hAnsi="Times New Roman"/>
          <w:sz w:val="21"/>
          <w:szCs w:val="21"/>
        </w:rPr>
        <w:t xml:space="preserve">rtainty: the terms, time-scale, and process of 'Brexit' are, as yet, largely unknown.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This said, however, the value of this evaluation comes from its setting out the likely affected areas, and in raising awareness of the complexity which Brexit will yield</w:t>
      </w:r>
      <w:r>
        <w:rPr>
          <w:rFonts w:ascii="Times New Roman" w:hAnsi="Times New Roman"/>
          <w:sz w:val="21"/>
          <w:szCs w:val="21"/>
        </w:rPr>
        <w:t>.</w:t>
      </w:r>
    </w:p>
    <w:p w:rsidR="00DE6461" w:rsidRDefault="00BB53F9">
      <w:pPr>
        <w:spacing w:before="57" w:after="57" w:line="360" w:lineRule="auto"/>
        <w:jc w:val="both"/>
        <w:rPr>
          <w:rFonts w:ascii="Times New Roman" w:hAnsi="Times New Roman"/>
          <w:sz w:val="21"/>
          <w:szCs w:val="21"/>
        </w:rPr>
      </w:pPr>
      <w:r>
        <w:rPr>
          <w:rFonts w:ascii="Times New Roman" w:hAnsi="Times New Roman"/>
          <w:sz w:val="21"/>
          <w:szCs w:val="21"/>
        </w:rPr>
        <w:t>Context</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It is becoming increasingly likely that a referendum on the continued membership of the United Kingdom within the European Union will take place during 2016, with a potential result being that the UK will take the unprecedented step of leaving th</w:t>
      </w:r>
      <w:r>
        <w:rPr>
          <w:rFonts w:ascii="Times New Roman" w:hAnsi="Times New Roman"/>
          <w:sz w:val="21"/>
          <w:szCs w:val="21"/>
        </w:rPr>
        <w:t>e EU. The implications of 'Brexit' are, of course, innumerable and far-reaching, impacting on nearly every aspect of life in the UK.</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The principal issue which it will be necessary for the UK government to address should the referendum lead to an exit from </w:t>
      </w:r>
      <w:r>
        <w:rPr>
          <w:rFonts w:ascii="Times New Roman" w:hAnsi="Times New Roman"/>
          <w:sz w:val="21"/>
          <w:szCs w:val="21"/>
        </w:rPr>
        <w:t>the EU is the resultant legislative lacuna. As will be detailed below, there are various EU Directives and Regulations which are focussed on addressing climate change concerns and, similarly, the EU has also ventured into energy law. To leave the EU, it is</w:t>
      </w:r>
      <w:r>
        <w:rPr>
          <w:rFonts w:ascii="Times New Roman" w:hAnsi="Times New Roman"/>
          <w:sz w:val="21"/>
          <w:szCs w:val="21"/>
        </w:rPr>
        <w:t xml:space="preserve"> presumed, will be to see the repeal or disapplication of EU laws, and so it will be necessary for the UK government to consider its preferred position on the way to replace (or otherwise deal with) these laws.</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Without wishing unnecessarily to repeat the p</w:t>
      </w:r>
      <w:r>
        <w:rPr>
          <w:rFonts w:ascii="Times New Roman" w:hAnsi="Times New Roman"/>
          <w:sz w:val="21"/>
          <w:szCs w:val="21"/>
        </w:rPr>
        <w:t xml:space="preserve">oints made in the papers produced by the other UKELA working groups, it is useful to reiterate that the context of Brexit is complicated by the constitutional make-up of the United Kingdom.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The UK is a whole comprised of nations with various devolved powe</w:t>
      </w:r>
      <w:r>
        <w:rPr>
          <w:rFonts w:ascii="Times New Roman" w:hAnsi="Times New Roman"/>
          <w:sz w:val="21"/>
          <w:szCs w:val="21"/>
        </w:rPr>
        <w:t>rs, as well as varied political, legal, and social characteristics. This structural make-up is likely to have tangible implications in the run up to the referendum, but more importantly for the purpose of this paper, is also likely to result in differing a</w:t>
      </w:r>
      <w:r>
        <w:rPr>
          <w:rFonts w:ascii="Times New Roman" w:hAnsi="Times New Roman"/>
          <w:sz w:val="21"/>
          <w:szCs w:val="21"/>
        </w:rPr>
        <w:t>pproaches to legislating on hitherto EU-led areas in the event of Brexit. Each devolved nation, to the extent that it is capable, may prefer different approaches to dealing with the legislative questions raised by an exit from the EU. The Nature Conservati</w:t>
      </w:r>
      <w:r>
        <w:rPr>
          <w:rFonts w:ascii="Times New Roman" w:hAnsi="Times New Roman"/>
          <w:sz w:val="21"/>
          <w:szCs w:val="21"/>
        </w:rPr>
        <w:t>on Working Paper also, rightly, suggested that the matter will be complicated by the UK's relationship with the Crown Dependency of Gibraltar, and the Sovereign Base areas in Cyprus.</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It is also useful to recognise that this paper, in dealing with environme</w:t>
      </w:r>
      <w:r>
        <w:rPr>
          <w:rFonts w:ascii="Times New Roman" w:hAnsi="Times New Roman"/>
          <w:sz w:val="21"/>
          <w:szCs w:val="21"/>
        </w:rPr>
        <w:t xml:space="preserve">ntal laws, has a place within the general debate regarding suitable context for dealing with environmental issues.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It is trite to say that environmental concerns (which are addressed by environmental legislation) are </w:t>
      </w:r>
      <w:r>
        <w:rPr>
          <w:rFonts w:ascii="Times New Roman" w:hAnsi="Times New Roman"/>
          <w:sz w:val="21"/>
          <w:szCs w:val="21"/>
        </w:rPr>
        <w:lastRenderedPageBreak/>
        <w:t>international concerns which generally</w:t>
      </w:r>
      <w:r>
        <w:rPr>
          <w:rFonts w:ascii="Times New Roman" w:hAnsi="Times New Roman"/>
          <w:sz w:val="21"/>
          <w:szCs w:val="21"/>
        </w:rPr>
        <w:t xml:space="preserve"> do not respect national boundaries. For this reason, it has often been recited that environmental concerns need to be addressed at an international level: it is nonsensical to legislate on an individualistic basis when the source or nature of the matter a</w:t>
      </w:r>
      <w:r>
        <w:rPr>
          <w:rFonts w:ascii="Times New Roman" w:hAnsi="Times New Roman"/>
          <w:sz w:val="21"/>
          <w:szCs w:val="21"/>
        </w:rPr>
        <w:t>t hand cannot thereby be appropriately or meaningfully managed.</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This international characteristic of environmental law is perhaps all the greater in the context of climate change. When we speak of climate change, we are not discussing specific climates or </w:t>
      </w:r>
      <w:r>
        <w:rPr>
          <w:rFonts w:ascii="Times New Roman" w:hAnsi="Times New Roman"/>
          <w:sz w:val="21"/>
          <w:szCs w:val="21"/>
        </w:rPr>
        <w:t xml:space="preserve">biomes, but rather changes to the </w:t>
      </w:r>
      <w:r>
        <w:rPr>
          <w:rFonts w:ascii="Times New Roman" w:hAnsi="Times New Roman"/>
          <w:i/>
          <w:iCs/>
          <w:sz w:val="21"/>
          <w:szCs w:val="21"/>
        </w:rPr>
        <w:t>global</w:t>
      </w:r>
      <w:r>
        <w:rPr>
          <w:rFonts w:ascii="Times New Roman" w:hAnsi="Times New Roman"/>
          <w:sz w:val="21"/>
          <w:szCs w:val="21"/>
        </w:rPr>
        <w:t xml:space="preserve"> climate. The global climate can be understood as a closed system where cause and effect operates on a global scale.</w:t>
      </w:r>
      <w:r>
        <w:rPr>
          <w:rFonts w:ascii="Times New Roman" w:hAnsi="Times New Roman"/>
          <w:color w:val="000000"/>
          <w:sz w:val="21"/>
          <w:szCs w:val="21"/>
        </w:rPr>
        <w:t xml:space="preserve"> Consequently, the EU, as a community of nations, has understandably considered itself competent and</w:t>
      </w:r>
      <w:r>
        <w:rPr>
          <w:rFonts w:ascii="Times New Roman" w:hAnsi="Times New Roman"/>
          <w:color w:val="000000"/>
          <w:sz w:val="21"/>
          <w:szCs w:val="21"/>
        </w:rPr>
        <w:t xml:space="preserve"> justified to legislate on climate change issues. </w:t>
      </w:r>
    </w:p>
    <w:p w:rsidR="00DE6461" w:rsidRDefault="00BB53F9">
      <w:pPr>
        <w:numPr>
          <w:ilvl w:val="0"/>
          <w:numId w:val="1"/>
        </w:numPr>
        <w:spacing w:before="57" w:after="57" w:line="360" w:lineRule="auto"/>
        <w:jc w:val="both"/>
        <w:rPr>
          <w:rFonts w:hint="eastAsia"/>
        </w:rPr>
      </w:pPr>
      <w:r>
        <w:rPr>
          <w:rFonts w:ascii="Times New Roman" w:hAnsi="Times New Roman"/>
          <w:color w:val="000000"/>
          <w:sz w:val="21"/>
          <w:szCs w:val="21"/>
        </w:rPr>
        <w:t xml:space="preserve">This global awareness of climate issues can be very clearly seen through the negotiations of </w:t>
      </w:r>
      <w:r>
        <w:rPr>
          <w:rFonts w:ascii="Times New Roman" w:hAnsi="Times New Roman"/>
          <w:color w:val="000000"/>
          <w:sz w:val="21"/>
          <w:szCs w:val="21"/>
        </w:rPr>
        <w:t> </w:t>
      </w:r>
      <w:r>
        <w:rPr>
          <w:rFonts w:ascii="Times New Roman" w:hAnsi="Times New Roman"/>
          <w:color w:val="000000"/>
          <w:sz w:val="21"/>
          <w:szCs w:val="21"/>
        </w:rPr>
        <w:t>COP21 UN C</w:t>
      </w:r>
      <w:r>
        <w:rPr>
          <w:rStyle w:val="Emphasis"/>
          <w:rFonts w:ascii="Times New Roman" w:hAnsi="Times New Roman"/>
          <w:i w:val="0"/>
          <w:color w:val="000000"/>
          <w:sz w:val="21"/>
          <w:szCs w:val="21"/>
        </w:rPr>
        <w:t>limate Change</w:t>
      </w:r>
      <w:r>
        <w:rPr>
          <w:rFonts w:ascii="Times New Roman" w:hAnsi="Times New Roman"/>
          <w:color w:val="000000"/>
          <w:sz w:val="21"/>
          <w:szCs w:val="21"/>
        </w:rPr>
        <w:t> C</w:t>
      </w:r>
      <w:r>
        <w:rPr>
          <w:rFonts w:ascii="Times New Roman" w:hAnsi="Times New Roman"/>
          <w:color w:val="000000"/>
          <w:sz w:val="21"/>
          <w:szCs w:val="21"/>
        </w:rPr>
        <w:t>onference in </w:t>
      </w:r>
      <w:r>
        <w:rPr>
          <w:rStyle w:val="Emphasis"/>
          <w:rFonts w:ascii="Times New Roman" w:hAnsi="Times New Roman"/>
          <w:i w:val="0"/>
          <w:color w:val="000000"/>
          <w:sz w:val="21"/>
          <w:szCs w:val="21"/>
        </w:rPr>
        <w:t>Paris, which resulted in the ambition of “[h]olding the increase in globa</w:t>
      </w:r>
      <w:r>
        <w:rPr>
          <w:rStyle w:val="Emphasis"/>
          <w:rFonts w:ascii="Times New Roman" w:hAnsi="Times New Roman"/>
          <w:i w:val="0"/>
          <w:color w:val="000000"/>
          <w:sz w:val="21"/>
          <w:szCs w:val="21"/>
        </w:rPr>
        <w:t>l temperatures to well below 2°C above pre-industrial levels and to pursue efforts to limit the temperature increase to 1.5°C...recognising that this would significantly reduce the risks and impacts of climate change”.</w:t>
      </w:r>
      <w:r>
        <w:rPr>
          <w:rStyle w:val="FootnoteAnchor"/>
          <w:rFonts w:ascii="Times New Roman" w:hAnsi="Times New Roman"/>
          <w:color w:val="000000"/>
          <w:sz w:val="21"/>
          <w:szCs w:val="21"/>
        </w:rPr>
        <w:footnoteReference w:id="1"/>
      </w:r>
      <w:r>
        <w:rPr>
          <w:rFonts w:ascii="Times New Roman" w:hAnsi="Times New Roman"/>
          <w:color w:val="000000"/>
          <w:sz w:val="21"/>
          <w:szCs w:val="21"/>
        </w:rPr>
        <w:t xml:space="preserve">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Energy law similarly has an </w:t>
      </w:r>
      <w:r>
        <w:rPr>
          <w:rFonts w:ascii="Times New Roman" w:hAnsi="Times New Roman"/>
          <w:sz w:val="21"/>
          <w:szCs w:val="21"/>
        </w:rPr>
        <w:t>international flavour. Bradbrook defines energy law as 'the allocation of rights and duties concerning the exploitation of all energy resources between individuals, between individuals and the government, between governments and between states.'</w:t>
      </w:r>
      <w:r>
        <w:rPr>
          <w:rStyle w:val="FootnoteAnchor"/>
          <w:rFonts w:ascii="Times New Roman" w:hAnsi="Times New Roman"/>
          <w:sz w:val="21"/>
          <w:szCs w:val="21"/>
        </w:rPr>
        <w:footnoteReference w:id="2"/>
      </w:r>
      <w:r>
        <w:rPr>
          <w:rFonts w:ascii="Times New Roman" w:hAnsi="Times New Roman"/>
          <w:sz w:val="21"/>
          <w:szCs w:val="21"/>
        </w:rPr>
        <w:t xml:space="preserve">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With the</w:t>
      </w:r>
      <w:r>
        <w:rPr>
          <w:rFonts w:ascii="Times New Roman" w:hAnsi="Times New Roman"/>
          <w:sz w:val="21"/>
          <w:szCs w:val="21"/>
        </w:rPr>
        <w:t xml:space="preserve"> benefit of hindsight, it is perhaps somewhat surprising that EU energy policy and regulation has not always engaged with its environmental characteristics. As Bell, McGillivray, and Pedersen suggest, '[h]istorically, EU environmental policy has had little</w:t>
      </w:r>
      <w:r>
        <w:rPr>
          <w:rFonts w:ascii="Times New Roman" w:hAnsi="Times New Roman"/>
          <w:sz w:val="21"/>
          <w:szCs w:val="21"/>
        </w:rPr>
        <w:t xml:space="preserve"> to say about energy, and equally EU energy policy has had little impact on its environmental policy.'</w:t>
      </w:r>
      <w:r>
        <w:rPr>
          <w:rStyle w:val="FootnoteAnchor"/>
          <w:rFonts w:ascii="Times New Roman" w:hAnsi="Times New Roman"/>
          <w:sz w:val="21"/>
          <w:szCs w:val="21"/>
        </w:rPr>
        <w:footnoteReference w:id="3"/>
      </w:r>
      <w:r>
        <w:rPr>
          <w:rFonts w:ascii="Times New Roman" w:hAnsi="Times New Roman"/>
          <w:sz w:val="21"/>
          <w:szCs w:val="21"/>
        </w:rPr>
        <w:t xml:space="preserve"> Energy law incorporates issues to do with competition, intellectual property, tax, and free movement more generally. Whilst this note does not suggest t</w:t>
      </w:r>
      <w:r>
        <w:rPr>
          <w:rFonts w:ascii="Times New Roman" w:hAnsi="Times New Roman"/>
          <w:sz w:val="21"/>
          <w:szCs w:val="21"/>
        </w:rPr>
        <w:t>hat this position is now entirely reversed – certainly these aspects of energy law remain – we do believe that there is an increased awareness of the environmental impact of energy use and production. This awareness is shared by producers, distributors, an</w:t>
      </w:r>
      <w:r>
        <w:rPr>
          <w:rFonts w:ascii="Times New Roman" w:hAnsi="Times New Roman"/>
          <w:sz w:val="21"/>
          <w:szCs w:val="21"/>
        </w:rPr>
        <w:t xml:space="preserve">d consumers, and so it is now inevitable that environmental concerns (with all their associated international facets) will influence energy law and policy.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In any event, for the purpose of this note, it is worth highlighting the inherent link between the </w:t>
      </w:r>
      <w:r>
        <w:rPr>
          <w:rFonts w:ascii="Times New Roman" w:hAnsi="Times New Roman"/>
          <w:sz w:val="21"/>
          <w:szCs w:val="21"/>
        </w:rPr>
        <w:t>energy sector and climate change. Indeed, the energy sector is the most significant source of carbon emissions in the EU, amounting to around one-third of total emissions.</w:t>
      </w:r>
    </w:p>
    <w:p w:rsidR="00DE6461" w:rsidRDefault="00BB53F9">
      <w:pPr>
        <w:spacing w:before="57" w:after="57" w:line="360" w:lineRule="auto"/>
        <w:jc w:val="both"/>
        <w:rPr>
          <w:rFonts w:ascii="Times New Roman" w:hAnsi="Times New Roman"/>
          <w:sz w:val="21"/>
          <w:szCs w:val="21"/>
        </w:rPr>
      </w:pPr>
      <w:r>
        <w:rPr>
          <w:rFonts w:ascii="Times New Roman" w:hAnsi="Times New Roman"/>
          <w:sz w:val="21"/>
          <w:szCs w:val="21"/>
        </w:rPr>
        <w:t xml:space="preserve">Impacted Legislation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Due to the various recognised causes of climate change (which </w:t>
      </w:r>
      <w:r>
        <w:rPr>
          <w:rFonts w:ascii="Times New Roman" w:hAnsi="Times New Roman"/>
          <w:sz w:val="21"/>
          <w:szCs w:val="21"/>
        </w:rPr>
        <w:t>is to say, due to the numerous sources of greenhouse gas emissions) the EU legislative portfolio seeking to address climate change is broad and engages with various different issues. Often, these legislative measures impact on the European energy sector, a</w:t>
      </w:r>
      <w:r>
        <w:rPr>
          <w:rFonts w:ascii="Times New Roman" w:hAnsi="Times New Roman"/>
          <w:sz w:val="21"/>
          <w:szCs w:val="21"/>
        </w:rPr>
        <w:t>nd so it is useful to deal with these two ideas together.</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Perhaps the most well-known EU legislative measure addressing climate change is </w:t>
      </w:r>
      <w:r>
        <w:rPr>
          <w:rFonts w:ascii="Times New Roman" w:hAnsi="Times New Roman"/>
          <w:b/>
          <w:bCs/>
          <w:sz w:val="21"/>
          <w:szCs w:val="21"/>
        </w:rPr>
        <w:t xml:space="preserve">Directive 2003/87/EC </w:t>
      </w:r>
      <w:r>
        <w:rPr>
          <w:rFonts w:ascii="Times New Roman" w:hAnsi="Times New Roman"/>
          <w:sz w:val="21"/>
          <w:szCs w:val="21"/>
        </w:rPr>
        <w:lastRenderedPageBreak/>
        <w:t>establishing a scheme for greenhouse gas emission allowance trading within the Community. This Di</w:t>
      </w:r>
      <w:r>
        <w:rPr>
          <w:rFonts w:ascii="Times New Roman" w:hAnsi="Times New Roman"/>
          <w:sz w:val="21"/>
          <w:szCs w:val="21"/>
        </w:rPr>
        <w:t xml:space="preserve">rective endeavoured to facilitate Member States in fulfilling their commitments under the Kyoto Protocol to reduce the aggregate emissions of greenhouse gases. This Directive has been supplemented by </w:t>
      </w:r>
      <w:r>
        <w:rPr>
          <w:rFonts w:ascii="Times New Roman" w:hAnsi="Times New Roman"/>
          <w:b/>
          <w:bCs/>
          <w:sz w:val="21"/>
          <w:szCs w:val="21"/>
        </w:rPr>
        <w:t>Directive 2009/29/EC</w:t>
      </w:r>
      <w:r>
        <w:rPr>
          <w:rFonts w:ascii="Times New Roman" w:hAnsi="Times New Roman"/>
          <w:sz w:val="21"/>
          <w:szCs w:val="21"/>
        </w:rPr>
        <w:t>, which extends the commitment to re</w:t>
      </w:r>
      <w:r>
        <w:rPr>
          <w:rFonts w:ascii="Times New Roman" w:hAnsi="Times New Roman"/>
          <w:sz w:val="21"/>
          <w:szCs w:val="21"/>
        </w:rPr>
        <w:t xml:space="preserve">duce emissions. The position under the most recent Directive is much in line with the '20-20-20 targets': at least a 20 percent reduction in greenhouse gas emissions in the EU by 2020 compared to 1990 levels.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These Directives go on to set out details of h</w:t>
      </w:r>
      <w:r>
        <w:rPr>
          <w:rFonts w:ascii="Times New Roman" w:hAnsi="Times New Roman"/>
          <w:sz w:val="21"/>
          <w:szCs w:val="21"/>
        </w:rPr>
        <w:t>ow the emission allowance trading market should operate. The 2009 Directive explains that installations which carry out stipulated activities resulting in emissions must hold a permit. Member States are required to submit their proposed allocation plans to</w:t>
      </w:r>
      <w:r>
        <w:rPr>
          <w:rFonts w:ascii="Times New Roman" w:hAnsi="Times New Roman"/>
          <w:sz w:val="21"/>
          <w:szCs w:val="21"/>
        </w:rPr>
        <w:t xml:space="preserve"> the European Commission. The objective of the EU is the efficient but proactive reduction in emissions, and to this end it is stated that the number of allowances shall be decreased year-on-year.</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Subsequent legislative measures, such as </w:t>
      </w:r>
      <w:r>
        <w:rPr>
          <w:rFonts w:ascii="Times New Roman" w:hAnsi="Times New Roman"/>
          <w:b/>
          <w:bCs/>
          <w:sz w:val="21"/>
          <w:szCs w:val="21"/>
        </w:rPr>
        <w:t>Regulation 1031/20</w:t>
      </w:r>
      <w:r>
        <w:rPr>
          <w:rFonts w:ascii="Times New Roman" w:hAnsi="Times New Roman"/>
          <w:b/>
          <w:bCs/>
          <w:sz w:val="21"/>
          <w:szCs w:val="21"/>
        </w:rPr>
        <w:t>10</w:t>
      </w:r>
      <w:r>
        <w:rPr>
          <w:rFonts w:ascii="Times New Roman" w:hAnsi="Times New Roman"/>
          <w:sz w:val="21"/>
          <w:szCs w:val="21"/>
        </w:rPr>
        <w:t>, have been enacted to facilitate the effective operation of the emission allowance trading scheme. This 2010 Regulation explains how the auctioning process of allowances which are not allocated “free of charge” should be administered and operated. Simil</w:t>
      </w:r>
      <w:r>
        <w:rPr>
          <w:rFonts w:ascii="Times New Roman" w:hAnsi="Times New Roman"/>
          <w:sz w:val="21"/>
          <w:szCs w:val="21"/>
        </w:rPr>
        <w:t xml:space="preserve">arly, </w:t>
      </w:r>
      <w:r>
        <w:rPr>
          <w:rFonts w:ascii="Times New Roman" w:hAnsi="Times New Roman"/>
          <w:b/>
          <w:bCs/>
          <w:sz w:val="21"/>
          <w:szCs w:val="21"/>
        </w:rPr>
        <w:t>Regulation 920/2010</w:t>
      </w:r>
      <w:r>
        <w:rPr>
          <w:rFonts w:ascii="Times New Roman" w:hAnsi="Times New Roman"/>
          <w:sz w:val="21"/>
          <w:szCs w:val="21"/>
        </w:rPr>
        <w:t xml:space="preserve"> has been implemented to establish a system of standardised registries and electronic databases which oversee and monitor how allowances are issued, held, transferred, and cancelled within the scheme.</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In an attempt to highlight the</w:t>
      </w:r>
      <w:r>
        <w:rPr>
          <w:rFonts w:ascii="Times New Roman" w:hAnsi="Times New Roman"/>
          <w:sz w:val="21"/>
          <w:szCs w:val="21"/>
        </w:rPr>
        <w:t xml:space="preserve"> economic basis of the emissions allowance trading scheme, whilst also demonstrating the global concern which climate change poses, </w:t>
      </w:r>
      <w:r>
        <w:rPr>
          <w:rFonts w:ascii="Times New Roman" w:hAnsi="Times New Roman"/>
          <w:b/>
          <w:bCs/>
          <w:sz w:val="21"/>
          <w:szCs w:val="21"/>
        </w:rPr>
        <w:t>Directive 2004/101/EC</w:t>
      </w:r>
      <w:r>
        <w:rPr>
          <w:rFonts w:ascii="Times New Roman" w:hAnsi="Times New Roman"/>
          <w:sz w:val="21"/>
          <w:szCs w:val="21"/>
        </w:rPr>
        <w:t xml:space="preserve"> establishes that joint implementation and clean development mechanisms may be used within the scheme.</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In order to work progressively toward these legislated objectives, a number of ancillary measures have been adopted. For example, </w:t>
      </w:r>
      <w:r>
        <w:rPr>
          <w:rFonts w:ascii="Times New Roman" w:hAnsi="Times New Roman"/>
          <w:b/>
          <w:bCs/>
          <w:sz w:val="21"/>
          <w:szCs w:val="21"/>
        </w:rPr>
        <w:t>Decision 280/2004/EC, implemented by Commission Decision 2005/166</w:t>
      </w:r>
      <w:r>
        <w:rPr>
          <w:rFonts w:ascii="Times New Roman" w:hAnsi="Times New Roman"/>
          <w:sz w:val="21"/>
          <w:szCs w:val="21"/>
        </w:rPr>
        <w:t xml:space="preserve"> establishes a mechanism for monitoring EU greenhouse gas emi</w:t>
      </w:r>
      <w:r>
        <w:rPr>
          <w:rFonts w:ascii="Times New Roman" w:hAnsi="Times New Roman"/>
          <w:sz w:val="21"/>
          <w:szCs w:val="21"/>
        </w:rPr>
        <w:t>ssions. This mechanism is devised and implemented by national and Community programmes, with Member States then being required to present annual reports to the Commission of their emissions. Much of the rationale behind this Decision was to enable the EU t</w:t>
      </w:r>
      <w:r>
        <w:rPr>
          <w:rFonts w:ascii="Times New Roman" w:hAnsi="Times New Roman"/>
          <w:sz w:val="21"/>
          <w:szCs w:val="21"/>
        </w:rPr>
        <w:t>o comply with its commitments under the Kyoto Protocol.</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As mentioned above, the link between the environment and energy policy has become more pronounced in the minds of the EU legislature, and this can be seen through another aspect of the 20-20-20 packag</w:t>
      </w:r>
      <w:r>
        <w:rPr>
          <w:rFonts w:ascii="Times New Roman" w:hAnsi="Times New Roman"/>
          <w:sz w:val="21"/>
          <w:szCs w:val="21"/>
        </w:rPr>
        <w:t>e: a 20% share for renewables in EU energy production, and a 20% improvement in energy efficiency from 2007 levels.</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The link between energy and climate change is most clearly demonstrated through </w:t>
      </w:r>
      <w:r>
        <w:rPr>
          <w:rFonts w:ascii="Times New Roman" w:hAnsi="Times New Roman"/>
          <w:b/>
          <w:bCs/>
          <w:sz w:val="21"/>
          <w:szCs w:val="21"/>
        </w:rPr>
        <w:t xml:space="preserve">Directive 2009/28/EC </w:t>
      </w:r>
      <w:r>
        <w:rPr>
          <w:rFonts w:ascii="Times New Roman" w:hAnsi="Times New Roman"/>
          <w:sz w:val="21"/>
          <w:szCs w:val="21"/>
        </w:rPr>
        <w:t>which</w:t>
      </w:r>
      <w:r>
        <w:rPr>
          <w:rFonts w:ascii="Times New Roman" w:hAnsi="Times New Roman"/>
          <w:b/>
          <w:bCs/>
          <w:sz w:val="21"/>
          <w:szCs w:val="21"/>
        </w:rPr>
        <w:t xml:space="preserve"> </w:t>
      </w:r>
      <w:r>
        <w:rPr>
          <w:rFonts w:ascii="Times New Roman" w:hAnsi="Times New Roman"/>
          <w:sz w:val="21"/>
          <w:szCs w:val="21"/>
        </w:rPr>
        <w:t>seeks to promote the use of energ</w:t>
      </w:r>
      <w:r>
        <w:rPr>
          <w:rFonts w:ascii="Times New Roman" w:hAnsi="Times New Roman"/>
          <w:sz w:val="21"/>
          <w:szCs w:val="21"/>
        </w:rPr>
        <w:t xml:space="preserve">y from renewable sources. Across the EU, it requires that 20% of energy consumed must be derived from renewable sources. Obviously, the basis for this Directive is not simply to reduce the emissions of greenhouse gases: there are 'many benefits, including </w:t>
      </w:r>
      <w:r>
        <w:rPr>
          <w:rFonts w:ascii="Times New Roman" w:hAnsi="Times New Roman"/>
          <w:sz w:val="21"/>
          <w:szCs w:val="21"/>
        </w:rPr>
        <w:t xml:space="preserve">the utilisation of local energy sources, increased local security of energy supply, shorter transport distances, and reduced energy transmission losses. Such decentralisation also fosters community development and cohesion by </w:t>
      </w:r>
      <w:r>
        <w:rPr>
          <w:rFonts w:ascii="Times New Roman" w:hAnsi="Times New Roman"/>
          <w:sz w:val="21"/>
          <w:szCs w:val="21"/>
        </w:rPr>
        <w:lastRenderedPageBreak/>
        <w:t>providing income sources and c</w:t>
      </w:r>
      <w:r>
        <w:rPr>
          <w:rFonts w:ascii="Times New Roman" w:hAnsi="Times New Roman"/>
          <w:sz w:val="21"/>
          <w:szCs w:val="21"/>
        </w:rPr>
        <w:t>reating jobs locally.'</w:t>
      </w:r>
      <w:r>
        <w:rPr>
          <w:rStyle w:val="FootnoteAnchor"/>
          <w:rFonts w:ascii="Times New Roman" w:hAnsi="Times New Roman"/>
          <w:sz w:val="21"/>
          <w:szCs w:val="21"/>
        </w:rPr>
        <w:footnoteReference w:id="4"/>
      </w:r>
      <w:r>
        <w:rPr>
          <w:rFonts w:ascii="Times New Roman" w:hAnsi="Times New Roman"/>
          <w:sz w:val="21"/>
          <w:szCs w:val="21"/>
        </w:rPr>
        <w:t xml:space="preserve"> That said, however, the Directive itself understandably recognises the correlative benefits for Member States seeking to attain their emission reduction targets.</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For the purposes of this note, this 2009 Directive is particularly int</w:t>
      </w:r>
      <w:r>
        <w:rPr>
          <w:rFonts w:ascii="Times New Roman" w:hAnsi="Times New Roman"/>
          <w:sz w:val="21"/>
          <w:szCs w:val="21"/>
        </w:rPr>
        <w:t>eresting because it advocates establishing mandatory national targets for the contributions of energy from renewable sources. In the case of the UK, the national overall target for the share of energy from renewable sources by 2020 is 15% (as compared with</w:t>
      </w:r>
      <w:r>
        <w:rPr>
          <w:rFonts w:ascii="Times New Roman" w:hAnsi="Times New Roman"/>
          <w:sz w:val="21"/>
          <w:szCs w:val="21"/>
        </w:rPr>
        <w:t xml:space="preserve"> the 1.3% share of 2005). A point of contention amongst environmental lawyers is that this target, whilst it is characterised as 'binding', does not attract sanctions or infringement proceedings should the Member State fail to reach it. Therefore, an inter</w:t>
      </w:r>
      <w:r>
        <w:rPr>
          <w:rFonts w:ascii="Times New Roman" w:hAnsi="Times New Roman"/>
          <w:sz w:val="21"/>
          <w:szCs w:val="21"/>
        </w:rPr>
        <w:t>esting question may be raised by Brexit: would the UK nevertheless be bound to fulfil its quasi-contractual obligations, and if so, how 'binding' is that target in any event.</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The EU has recognised that another significant source of emissions which may be r</w:t>
      </w:r>
      <w:r>
        <w:rPr>
          <w:rFonts w:ascii="Times New Roman" w:hAnsi="Times New Roman"/>
          <w:sz w:val="21"/>
          <w:szCs w:val="21"/>
        </w:rPr>
        <w:t xml:space="preserve">egulated on a pan-European level is transportation. </w:t>
      </w:r>
      <w:r>
        <w:rPr>
          <w:rFonts w:ascii="Times New Roman" w:hAnsi="Times New Roman"/>
          <w:b/>
          <w:bCs/>
          <w:sz w:val="21"/>
          <w:szCs w:val="21"/>
        </w:rPr>
        <w:t xml:space="preserve">Regulation (EC) No 443/2009 </w:t>
      </w:r>
      <w:r>
        <w:rPr>
          <w:rFonts w:ascii="Times New Roman" w:hAnsi="Times New Roman"/>
          <w:sz w:val="21"/>
          <w:szCs w:val="21"/>
        </w:rPr>
        <w:t>sets out emission performance standards for new passenger cars as part of the Community's broader approach to reduce CO</w:t>
      </w:r>
      <w:r>
        <w:rPr>
          <w:rFonts w:ascii="Times New Roman" w:hAnsi="Times New Roman"/>
          <w:sz w:val="21"/>
          <w:szCs w:val="21"/>
          <w:vertAlign w:val="subscript"/>
        </w:rPr>
        <w:t>2</w:t>
      </w:r>
      <w:r>
        <w:rPr>
          <w:rFonts w:ascii="Times New Roman" w:hAnsi="Times New Roman"/>
          <w:sz w:val="21"/>
          <w:szCs w:val="21"/>
        </w:rPr>
        <w:t xml:space="preserve"> emissions from vehicles. </w:t>
      </w:r>
      <w:r>
        <w:rPr>
          <w:rFonts w:ascii="Times New Roman" w:hAnsi="Times New Roman"/>
          <w:b/>
          <w:bCs/>
          <w:sz w:val="21"/>
          <w:szCs w:val="21"/>
        </w:rPr>
        <w:t xml:space="preserve">Directive 2009/30/EC </w:t>
      </w:r>
      <w:r>
        <w:rPr>
          <w:rFonts w:ascii="Times New Roman" w:hAnsi="Times New Roman"/>
          <w:sz w:val="21"/>
          <w:szCs w:val="21"/>
        </w:rPr>
        <w:t xml:space="preserve">seeks to </w:t>
      </w:r>
      <w:r>
        <w:rPr>
          <w:rFonts w:ascii="Times New Roman" w:hAnsi="Times New Roman"/>
          <w:sz w:val="21"/>
          <w:szCs w:val="21"/>
        </w:rPr>
        <w:t>monitor and reduce greenhouse gas emissions through establishing environmental standards for fuel.</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This theme of the EU legislating and thus impacting on individual consumers is also evident in various Directives relating to energy usage. </w:t>
      </w:r>
      <w:r>
        <w:rPr>
          <w:rFonts w:ascii="Times New Roman" w:hAnsi="Times New Roman"/>
          <w:b/>
          <w:bCs/>
          <w:sz w:val="21"/>
          <w:szCs w:val="21"/>
        </w:rPr>
        <w:t>Directive 2012/27</w:t>
      </w:r>
      <w:r>
        <w:rPr>
          <w:rFonts w:ascii="Times New Roman" w:hAnsi="Times New Roman"/>
          <w:b/>
          <w:bCs/>
          <w:sz w:val="21"/>
          <w:szCs w:val="21"/>
        </w:rPr>
        <w:t>/EU</w:t>
      </w:r>
      <w:r>
        <w:rPr>
          <w:rFonts w:ascii="Times New Roman" w:hAnsi="Times New Roman"/>
          <w:sz w:val="21"/>
          <w:szCs w:val="21"/>
        </w:rPr>
        <w:t xml:space="preserve">, for example, establishes a framework for labelling and consumer information regarding energy consumption for energy-related (including household) products. </w:t>
      </w:r>
      <w:r>
        <w:rPr>
          <w:rFonts w:ascii="Times New Roman" w:hAnsi="Times New Roman"/>
          <w:b/>
          <w:bCs/>
          <w:sz w:val="21"/>
          <w:szCs w:val="21"/>
        </w:rPr>
        <w:t>Directive 2010/31/EU</w:t>
      </w:r>
      <w:r>
        <w:rPr>
          <w:rFonts w:ascii="Times New Roman" w:hAnsi="Times New Roman"/>
          <w:sz w:val="21"/>
          <w:szCs w:val="21"/>
        </w:rPr>
        <w:t xml:space="preserve"> seeks to improve the energy performance and efficiency of buildings.</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It </w:t>
      </w:r>
      <w:r>
        <w:rPr>
          <w:rFonts w:ascii="Times New Roman" w:hAnsi="Times New Roman"/>
          <w:sz w:val="21"/>
          <w:szCs w:val="21"/>
        </w:rPr>
        <w:t>makes sense, as part of this note, to mention the central pieces of European legislation concerned with air quality: CO</w:t>
      </w:r>
      <w:r>
        <w:rPr>
          <w:rFonts w:ascii="Times New Roman" w:hAnsi="Times New Roman"/>
          <w:sz w:val="21"/>
          <w:szCs w:val="21"/>
          <w:vertAlign w:val="subscript"/>
        </w:rPr>
        <w:t>2</w:t>
      </w:r>
      <w:r>
        <w:rPr>
          <w:rFonts w:ascii="Times New Roman" w:hAnsi="Times New Roman"/>
          <w:sz w:val="21"/>
          <w:szCs w:val="21"/>
        </w:rPr>
        <w:t xml:space="preserve"> is not the only emission which has an environmental impact.</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b/>
          <w:bCs/>
          <w:sz w:val="21"/>
          <w:szCs w:val="21"/>
        </w:rPr>
        <w:t xml:space="preserve">Directive 2001/81/EC </w:t>
      </w:r>
      <w:r>
        <w:rPr>
          <w:rFonts w:ascii="Times New Roman" w:hAnsi="Times New Roman"/>
          <w:sz w:val="21"/>
          <w:szCs w:val="21"/>
        </w:rPr>
        <w:t xml:space="preserve">sets the upper limits for Member States' emissions of </w:t>
      </w:r>
      <w:r>
        <w:rPr>
          <w:rFonts w:ascii="Times New Roman" w:hAnsi="Times New Roman"/>
          <w:sz w:val="21"/>
          <w:szCs w:val="21"/>
        </w:rPr>
        <w:t xml:space="preserve">certain atmospheric pollutants (including sulphur dioxide, nitrogen oxides, and volatile organic compounds). This Directive is supplemented by </w:t>
      </w:r>
      <w:r>
        <w:rPr>
          <w:rFonts w:ascii="Times New Roman" w:hAnsi="Times New Roman"/>
          <w:b/>
          <w:bCs/>
          <w:sz w:val="21"/>
          <w:szCs w:val="21"/>
        </w:rPr>
        <w:t xml:space="preserve">Directive 2010/75/EU </w:t>
      </w:r>
      <w:r>
        <w:rPr>
          <w:rFonts w:ascii="Times New Roman" w:hAnsi="Times New Roman"/>
          <w:sz w:val="21"/>
          <w:szCs w:val="21"/>
        </w:rPr>
        <w:t>which seeks to control and reduce the emissions from large combustion plants.  This Industri</w:t>
      </w:r>
      <w:r>
        <w:rPr>
          <w:rFonts w:ascii="Times New Roman" w:hAnsi="Times New Roman"/>
          <w:sz w:val="21"/>
          <w:szCs w:val="21"/>
        </w:rPr>
        <w:t xml:space="preserve">al Emissions Directive, in much the same way as </w:t>
      </w:r>
      <w:r>
        <w:rPr>
          <w:rFonts w:ascii="Times New Roman" w:hAnsi="Times New Roman"/>
          <w:b/>
          <w:bCs/>
          <w:sz w:val="21"/>
          <w:szCs w:val="21"/>
        </w:rPr>
        <w:t>Directive 2009/29/EC (</w:t>
      </w:r>
      <w:r>
        <w:rPr>
          <w:rFonts w:ascii="Times New Roman" w:hAnsi="Times New Roman"/>
          <w:sz w:val="21"/>
          <w:szCs w:val="21"/>
        </w:rPr>
        <w:t>the emission reduction Directive outlined above),  requires various installations undertaking specified industrial activities to operate in accordance with a permit which is issued by th</w:t>
      </w:r>
      <w:r>
        <w:rPr>
          <w:rFonts w:ascii="Times New Roman" w:hAnsi="Times New Roman"/>
          <w:sz w:val="21"/>
          <w:szCs w:val="21"/>
        </w:rPr>
        <w:t>e Member State authorities.</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The general health impacts, as well as the environmental impacts, of improved air quality are clearly considered in </w:t>
      </w:r>
      <w:r>
        <w:rPr>
          <w:rFonts w:ascii="Times New Roman" w:hAnsi="Times New Roman"/>
          <w:b/>
          <w:bCs/>
          <w:sz w:val="21"/>
          <w:szCs w:val="21"/>
        </w:rPr>
        <w:t>Directive 2008/50/EC</w:t>
      </w:r>
      <w:r>
        <w:rPr>
          <w:rFonts w:ascii="Times New Roman" w:hAnsi="Times New Roman"/>
          <w:sz w:val="21"/>
          <w:szCs w:val="21"/>
        </w:rPr>
        <w:t xml:space="preserve"> on ambient air quality and clear air for Europe. This 2008 Directive imposes limits for Mem</w:t>
      </w:r>
      <w:r>
        <w:rPr>
          <w:rFonts w:ascii="Times New Roman" w:hAnsi="Times New Roman"/>
          <w:sz w:val="21"/>
          <w:szCs w:val="21"/>
        </w:rPr>
        <w:t>ber States for various pollutants and particulates in outdoor air. This Directive has self-evident implications on the UK, and it is well-publicised – for example in the ClientEarth judgment of the Supreme Court</w:t>
      </w:r>
      <w:r>
        <w:rPr>
          <w:rStyle w:val="FootnoteAnchor"/>
          <w:rFonts w:ascii="Times New Roman" w:hAnsi="Times New Roman"/>
          <w:sz w:val="21"/>
          <w:szCs w:val="21"/>
          <w:vertAlign w:val="baseline"/>
        </w:rPr>
        <w:footnoteReference w:id="5"/>
      </w:r>
      <w:r>
        <w:rPr>
          <w:rFonts w:ascii="Times New Roman" w:hAnsi="Times New Roman"/>
          <w:sz w:val="21"/>
          <w:szCs w:val="21"/>
        </w:rPr>
        <w:t xml:space="preserve"> – that in many urban areas these targets ar</w:t>
      </w:r>
      <w:r>
        <w:rPr>
          <w:rFonts w:ascii="Times New Roman" w:hAnsi="Times New Roman"/>
          <w:sz w:val="21"/>
          <w:szCs w:val="21"/>
        </w:rPr>
        <w:t>e not being met.</w:t>
      </w:r>
    </w:p>
    <w:p w:rsidR="00DE6461" w:rsidRDefault="00BB53F9">
      <w:pPr>
        <w:spacing w:before="57" w:after="57" w:line="360" w:lineRule="auto"/>
        <w:jc w:val="both"/>
        <w:rPr>
          <w:rFonts w:ascii="Times New Roman" w:hAnsi="Times New Roman"/>
          <w:sz w:val="21"/>
          <w:szCs w:val="21"/>
        </w:rPr>
      </w:pPr>
      <w:r>
        <w:rPr>
          <w:rFonts w:ascii="Times New Roman" w:hAnsi="Times New Roman"/>
          <w:sz w:val="21"/>
          <w:szCs w:val="21"/>
        </w:rPr>
        <w:lastRenderedPageBreak/>
        <w:t>Implications of the UK's Exit from the EU</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Turning now to the implications for the UK of leaving the EU, it is again necessary to restate that much of what follows is unavoidably generalised.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It is perhaps also prudent to bear in mind that</w:t>
      </w:r>
      <w:r>
        <w:rPr>
          <w:rFonts w:ascii="Times New Roman" w:hAnsi="Times New Roman"/>
          <w:sz w:val="21"/>
          <w:szCs w:val="21"/>
        </w:rPr>
        <w:t xml:space="preserve"> we are likely to be equally unclear as to what the UK remaining in the EU would look like if David Cameron is able to successfully negotiate a new relationship with the EU.</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There is the very obvious detriment to the UK that if it were to leave the EU, the</w:t>
      </w:r>
      <w:r>
        <w:rPr>
          <w:rFonts w:ascii="Times New Roman" w:hAnsi="Times New Roman"/>
          <w:sz w:val="21"/>
          <w:szCs w:val="21"/>
        </w:rPr>
        <w:t>n it would equally be unable to negotiate and seek to influence the EU's approach to environmental regulation. This disadvantage is magnified when one considers that the UK will (perhaps) nevertheless remain obliged to meet certain targets established by t</w:t>
      </w:r>
      <w:r>
        <w:rPr>
          <w:rFonts w:ascii="Times New Roman" w:hAnsi="Times New Roman"/>
          <w:sz w:val="21"/>
          <w:szCs w:val="21"/>
        </w:rPr>
        <w:t>he EU or by international treaties, such as the Kyoto Protocol. It would be a regrettable situation for the UK to be bound to meet various objectives but have no influence in the process determining how those targets should be achieved. It is also the case</w:t>
      </w:r>
      <w:r>
        <w:rPr>
          <w:rFonts w:ascii="Times New Roman" w:hAnsi="Times New Roman"/>
          <w:sz w:val="21"/>
          <w:szCs w:val="21"/>
        </w:rPr>
        <w:t xml:space="preserve"> that the UK may be less inclined to adopt stringent and taxing targets for itself if there were not European pressures to do so.</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On the other side of the coin, if the UK were to leave the EU, then there is an argument that the EU's climate change and ener</w:t>
      </w:r>
      <w:r>
        <w:rPr>
          <w:rFonts w:ascii="Times New Roman" w:hAnsi="Times New Roman"/>
          <w:sz w:val="21"/>
          <w:szCs w:val="21"/>
        </w:rPr>
        <w:t>gy policies would suffer. The UK has a recognised positive impact in steering EU policy in a more demanding, conscientious and sustainable direction. There is a worry that if the UK were to leave the negotiating table, then Member States for whom environme</w:t>
      </w:r>
      <w:r>
        <w:rPr>
          <w:rFonts w:ascii="Times New Roman" w:hAnsi="Times New Roman"/>
          <w:sz w:val="21"/>
          <w:szCs w:val="21"/>
        </w:rPr>
        <w:t>ntal concerns are subordinate to economic prosperity may come to the fore. This point is likely to be borne out in the context of UNFCCC negotiations: without the UK, the EU may be inclined to adopt a weakened stance, and similarly, the UK's position is li</w:t>
      </w:r>
      <w:r>
        <w:rPr>
          <w:rFonts w:ascii="Times New Roman" w:hAnsi="Times New Roman"/>
          <w:sz w:val="21"/>
          <w:szCs w:val="21"/>
        </w:rPr>
        <w:t>kely to be diminished. One of the defining justifications for the EU is that it is greater than the sum of its parts, and that argument is particularly prevalent on the global stage.</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It is submitted here that the UK is likely to want to continue being able</w:t>
      </w:r>
      <w:r>
        <w:rPr>
          <w:rFonts w:ascii="Times New Roman" w:hAnsi="Times New Roman"/>
          <w:sz w:val="21"/>
          <w:szCs w:val="21"/>
        </w:rPr>
        <w:t xml:space="preserve"> trade within the EU emissions trading scheme so as to attain its obligations imposed by international treaties and agreements. For example, if the Paris Agreement is ratified, then the ambitious global targets will require exactly such an international re</w:t>
      </w:r>
      <w:r>
        <w:rPr>
          <w:rFonts w:ascii="Times New Roman" w:hAnsi="Times New Roman"/>
          <w:sz w:val="21"/>
          <w:szCs w:val="21"/>
        </w:rPr>
        <w:t>sponse.</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There is a suggestion that if the UK were to leave the EU, it could nevertheless opt-in to the emissions trading scheme. Iceland, Norway and Lichtenstein have each signed up to the scheme, and the suggestion is that the UK could do the same, thus p</w:t>
      </w:r>
      <w:r>
        <w:rPr>
          <w:rFonts w:ascii="Times New Roman" w:hAnsi="Times New Roman"/>
          <w:sz w:val="21"/>
          <w:szCs w:val="21"/>
        </w:rPr>
        <w:t xml:space="preserve">reserving the commercial impetus underpinning continued climate change action in industry. This said, there is still the potential concern relating to how influential the UK would be in formulating EU ETS policy if it were no longer an EU Member State.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Mu</w:t>
      </w:r>
      <w:r>
        <w:rPr>
          <w:rFonts w:ascii="Times New Roman" w:hAnsi="Times New Roman"/>
          <w:sz w:val="21"/>
          <w:szCs w:val="21"/>
        </w:rPr>
        <w:t>ch the same argument can be raised with regard to the 2009 Directive promoting the use of renewable energy sources. This Directive envisages joint projects, with the common objective of increasing proportional energy production from renewable sources. Thes</w:t>
      </w:r>
      <w:r>
        <w:rPr>
          <w:rFonts w:ascii="Times New Roman" w:hAnsi="Times New Roman"/>
          <w:sz w:val="21"/>
          <w:szCs w:val="21"/>
        </w:rPr>
        <w:t>e projects may be between Member States or entered into with third countries. Obviously, this latter point is worth noting because it could mitigate any disruptive effects arising from Brexit on long-term international projects. So long as the conditions f</w:t>
      </w:r>
      <w:r>
        <w:rPr>
          <w:rFonts w:ascii="Times New Roman" w:hAnsi="Times New Roman"/>
          <w:sz w:val="21"/>
          <w:szCs w:val="21"/>
        </w:rPr>
        <w:t>or third party joint projects would be met, the Member States of the EU may not be deterred from entering into joint projects with the UK.</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lastRenderedPageBreak/>
        <w:t>There are a number of arguments which suggest that Brexit might not be as damaging to the UK's climate change and ene</w:t>
      </w:r>
      <w:r>
        <w:rPr>
          <w:rFonts w:ascii="Times New Roman" w:hAnsi="Times New Roman"/>
          <w:sz w:val="21"/>
          <w:szCs w:val="21"/>
        </w:rPr>
        <w:t>rgy policies as is feared. The Climate Change Act 2008 is the flagship piece of national legislation on this issue, most significantly setting out a duty 'to ensure that the net UK carbon account for the year 2050 is at least 80% lower than the 1990 baseli</w:t>
      </w:r>
      <w:r>
        <w:rPr>
          <w:rFonts w:ascii="Times New Roman" w:hAnsi="Times New Roman"/>
          <w:sz w:val="21"/>
          <w:szCs w:val="21"/>
        </w:rPr>
        <w:t>ne.'</w:t>
      </w:r>
      <w:r>
        <w:rPr>
          <w:rStyle w:val="FootnoteAnchor"/>
          <w:rFonts w:ascii="Times New Roman" w:hAnsi="Times New Roman"/>
          <w:sz w:val="21"/>
          <w:szCs w:val="21"/>
        </w:rPr>
        <w:footnoteReference w:id="6"/>
      </w:r>
      <w:r>
        <w:rPr>
          <w:rFonts w:ascii="Times New Roman" w:hAnsi="Times New Roman"/>
          <w:sz w:val="21"/>
          <w:szCs w:val="21"/>
        </w:rPr>
        <w:t xml:space="preserve"> This legislated target is remarkably ambitious, and indicates that the UK's national (and, therefore, individual) commitment to sustainable development is genuine and proactive.</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 xml:space="preserve">Further, Simon Moore at Policy Exchange raises the interesting argument </w:t>
      </w:r>
      <w:r>
        <w:rPr>
          <w:rFonts w:ascii="Times New Roman" w:hAnsi="Times New Roman"/>
          <w:sz w:val="21"/>
          <w:szCs w:val="21"/>
        </w:rPr>
        <w:t>that the UK,  through being compelled to meet EU targets on investment in renewable energy sources, may in fact struggle to meet the decarbonisation target.</w:t>
      </w:r>
      <w:r>
        <w:rPr>
          <w:rStyle w:val="FootnoteAnchor"/>
          <w:rFonts w:ascii="Times New Roman" w:hAnsi="Times New Roman"/>
          <w:sz w:val="21"/>
          <w:szCs w:val="21"/>
        </w:rPr>
        <w:footnoteReference w:id="7"/>
      </w:r>
      <w:r>
        <w:rPr>
          <w:rFonts w:ascii="Times New Roman" w:hAnsi="Times New Roman"/>
          <w:sz w:val="21"/>
          <w:szCs w:val="21"/>
        </w:rPr>
        <w:t xml:space="preserve"> Meeting the renewable energy target </w:t>
      </w:r>
      <w:r>
        <w:rPr>
          <w:rFonts w:ascii="Times New Roman" w:hAnsi="Times New Roman"/>
          <w:i/>
          <w:iCs/>
          <w:sz w:val="21"/>
          <w:szCs w:val="21"/>
        </w:rPr>
        <w:t>may</w:t>
      </w:r>
      <w:r>
        <w:rPr>
          <w:rFonts w:ascii="Times New Roman" w:hAnsi="Times New Roman"/>
          <w:sz w:val="21"/>
          <w:szCs w:val="21"/>
        </w:rPr>
        <w:t xml:space="preserve"> have a deleterious effect on the UK's prospects to reduce </w:t>
      </w:r>
      <w:r>
        <w:rPr>
          <w:rFonts w:ascii="Times New Roman" w:hAnsi="Times New Roman"/>
          <w:sz w:val="21"/>
          <w:szCs w:val="21"/>
        </w:rPr>
        <w:t>its carbon account because it commits the bulk of the UK's efforts and resources in one specific way, at the expense of encouraging broader innovation and investment in low-carbon alternatives.</w:t>
      </w:r>
    </w:p>
    <w:p w:rsidR="00DE6461" w:rsidRDefault="00BB53F9">
      <w:pPr>
        <w:spacing w:before="57" w:after="57" w:line="360" w:lineRule="auto"/>
        <w:jc w:val="both"/>
        <w:rPr>
          <w:rFonts w:ascii="Times New Roman" w:hAnsi="Times New Roman"/>
          <w:sz w:val="21"/>
          <w:szCs w:val="21"/>
        </w:rPr>
      </w:pPr>
      <w:r>
        <w:rPr>
          <w:rFonts w:ascii="Times New Roman" w:hAnsi="Times New Roman"/>
          <w:sz w:val="21"/>
          <w:szCs w:val="21"/>
        </w:rPr>
        <w:t>Concluding Remarks</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It is, of course, important to be wary to make suggestions about the implications of Brexit when the actual terms and general outcomes are unknown. The overwhelming majority (between 80-90%) of the UK's environmental legislation is derived from EU legislat</w:t>
      </w:r>
      <w:r>
        <w:rPr>
          <w:rFonts w:ascii="Times New Roman" w:hAnsi="Times New Roman"/>
          <w:sz w:val="21"/>
          <w:szCs w:val="21"/>
        </w:rPr>
        <w:t xml:space="preserve">ion, and so the potential impact of Brexit on climate change and energy policy in the UK is huge. </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This note has mapped the major pieces of EU legislation which concern specifically climate change and energy, and suggested potential (if chiefly generalised</w:t>
      </w:r>
      <w:r>
        <w:rPr>
          <w:rFonts w:ascii="Times New Roman" w:hAnsi="Times New Roman"/>
          <w:sz w:val="21"/>
          <w:szCs w:val="21"/>
        </w:rPr>
        <w:t>) impacts should a no-vote be delivered in the referendum. The chief impact of Brexit will, understandably, be confusion, and whilst it will be possible to resolve much of this uncertainty over the course of time through a combination of legislating and ne</w:t>
      </w:r>
      <w:r>
        <w:rPr>
          <w:rFonts w:ascii="Times New Roman" w:hAnsi="Times New Roman"/>
          <w:sz w:val="21"/>
          <w:szCs w:val="21"/>
        </w:rPr>
        <w:t>gotiating, this note questions whether any potential outcomes would be worth that confusion from an environmental and sustainability perspective. When considering climate change policy and energy policy, it seems that there are far more advantages to remai</w:t>
      </w:r>
      <w:r>
        <w:rPr>
          <w:rFonts w:ascii="Times New Roman" w:hAnsi="Times New Roman"/>
          <w:sz w:val="21"/>
          <w:szCs w:val="21"/>
        </w:rPr>
        <w:t>ning within the EU.</w:t>
      </w:r>
    </w:p>
    <w:p w:rsidR="00DE6461" w:rsidRDefault="00BB53F9">
      <w:pPr>
        <w:numPr>
          <w:ilvl w:val="0"/>
          <w:numId w:val="1"/>
        </w:numPr>
        <w:spacing w:before="57" w:after="57" w:line="360" w:lineRule="auto"/>
        <w:jc w:val="both"/>
        <w:rPr>
          <w:rFonts w:ascii="Times New Roman" w:hAnsi="Times New Roman"/>
          <w:sz w:val="21"/>
          <w:szCs w:val="21"/>
        </w:rPr>
      </w:pPr>
      <w:r>
        <w:rPr>
          <w:rFonts w:ascii="Times New Roman" w:hAnsi="Times New Roman"/>
          <w:sz w:val="21"/>
          <w:szCs w:val="21"/>
        </w:rPr>
        <w:t>One cannot escape the fact that climate change and the finite nature of non-renewable energy sources are (at least) a pan-European problem. Further, it is true that acting on climate change, and the move toward sustainable energy sourci</w:t>
      </w:r>
      <w:r>
        <w:rPr>
          <w:rFonts w:ascii="Times New Roman" w:hAnsi="Times New Roman"/>
          <w:sz w:val="21"/>
          <w:szCs w:val="21"/>
        </w:rPr>
        <w:t>ng, demand a holistic and collaborative approach, and for this reason the arguments for the UK staying in the EU are very strong. Indeed, in the context of the environment as a whole, the dis-benefits of Brexit are writ large.</w:t>
      </w:r>
    </w:p>
    <w:p w:rsidR="00DE6461" w:rsidRDefault="00DE6461">
      <w:pPr>
        <w:spacing w:before="57" w:after="57" w:line="360" w:lineRule="auto"/>
        <w:jc w:val="both"/>
        <w:rPr>
          <w:rFonts w:ascii="Times New Roman" w:hAnsi="Times New Roman"/>
          <w:sz w:val="21"/>
          <w:szCs w:val="21"/>
        </w:rPr>
      </w:pPr>
    </w:p>
    <w:p w:rsidR="00DE6461" w:rsidRDefault="00DE6461">
      <w:pPr>
        <w:spacing w:before="57" w:after="57" w:line="360" w:lineRule="auto"/>
        <w:jc w:val="both"/>
        <w:rPr>
          <w:rFonts w:ascii="Times New Roman" w:hAnsi="Times New Roman"/>
          <w:sz w:val="21"/>
          <w:szCs w:val="21"/>
        </w:rPr>
      </w:pPr>
    </w:p>
    <w:p w:rsidR="00DE6461" w:rsidRDefault="00BB53F9">
      <w:pPr>
        <w:spacing w:before="57" w:after="57" w:line="360" w:lineRule="auto"/>
        <w:jc w:val="both"/>
        <w:rPr>
          <w:rFonts w:ascii="Times New Roman" w:hAnsi="Times New Roman"/>
          <w:sz w:val="21"/>
          <w:szCs w:val="21"/>
        </w:rPr>
      </w:pPr>
      <w:r>
        <w:rPr>
          <w:rFonts w:ascii="Times New Roman" w:hAnsi="Times New Roman"/>
          <w:sz w:val="21"/>
          <w:szCs w:val="21"/>
        </w:rPr>
        <w:t>Stephen Hockman QC and Benj</w:t>
      </w:r>
      <w:r>
        <w:rPr>
          <w:rFonts w:ascii="Times New Roman" w:hAnsi="Times New Roman"/>
          <w:sz w:val="21"/>
          <w:szCs w:val="21"/>
        </w:rPr>
        <w:t>amin Haseldine</w:t>
      </w:r>
    </w:p>
    <w:p w:rsidR="00DE6461" w:rsidRDefault="00BB53F9">
      <w:pPr>
        <w:spacing w:before="57" w:after="57" w:line="360" w:lineRule="auto"/>
        <w:jc w:val="both"/>
        <w:rPr>
          <w:rFonts w:ascii="Times New Roman" w:hAnsi="Times New Roman"/>
          <w:sz w:val="21"/>
          <w:szCs w:val="21"/>
        </w:rPr>
      </w:pPr>
      <w:r>
        <w:rPr>
          <w:rFonts w:ascii="Times New Roman" w:hAnsi="Times New Roman"/>
          <w:sz w:val="21"/>
          <w:szCs w:val="21"/>
        </w:rPr>
        <w:t>Climate Change and Energy Working Group</w:t>
      </w:r>
    </w:p>
    <w:p w:rsidR="00DE6461" w:rsidRDefault="00BB53F9">
      <w:pPr>
        <w:spacing w:before="57" w:after="57" w:line="360" w:lineRule="auto"/>
        <w:jc w:val="both"/>
        <w:rPr>
          <w:rFonts w:ascii="Times New Roman" w:hAnsi="Times New Roman"/>
          <w:sz w:val="21"/>
          <w:szCs w:val="21"/>
        </w:rPr>
      </w:pPr>
      <w:r>
        <w:rPr>
          <w:rFonts w:ascii="Times New Roman" w:hAnsi="Times New Roman"/>
          <w:sz w:val="21"/>
          <w:szCs w:val="21"/>
        </w:rPr>
        <w:t>January 2016</w:t>
      </w:r>
    </w:p>
    <w:sectPr w:rsidR="00DE6461" w:rsidSect="00DE6461">
      <w:footerReference w:type="default" r:id="rId7"/>
      <w:pgSz w:w="11906" w:h="16838"/>
      <w:pgMar w:top="1134" w:right="1134" w:bottom="1648" w:left="1134" w:header="0"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3F9" w:rsidRDefault="00BB53F9" w:rsidP="00DE6461">
      <w:r>
        <w:separator/>
      </w:r>
    </w:p>
  </w:endnote>
  <w:endnote w:type="continuationSeparator" w:id="0">
    <w:p w:rsidR="00BB53F9" w:rsidRDefault="00BB53F9" w:rsidP="00DE646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61" w:rsidRDefault="00DE6461">
    <w:pPr>
      <w:pStyle w:val="Footer"/>
      <w:jc w:val="center"/>
      <w:rPr>
        <w:rFonts w:hint="eastAsia"/>
      </w:rPr>
    </w:pPr>
    <w:r>
      <w:fldChar w:fldCharType="begin"/>
    </w:r>
    <w:r w:rsidR="00BB53F9">
      <w:instrText>PAGE</w:instrText>
    </w:r>
    <w:r>
      <w:fldChar w:fldCharType="separate"/>
    </w:r>
    <w:r w:rsidR="007C7552">
      <w:rPr>
        <w:rFonts w:hint="eastAsia"/>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3F9" w:rsidRDefault="00BB53F9">
      <w:pPr>
        <w:rPr>
          <w:rFonts w:hint="eastAsia"/>
        </w:rPr>
      </w:pPr>
      <w:r>
        <w:separator/>
      </w:r>
    </w:p>
  </w:footnote>
  <w:footnote w:type="continuationSeparator" w:id="0">
    <w:p w:rsidR="00BB53F9" w:rsidRDefault="00BB53F9">
      <w:pPr>
        <w:rPr>
          <w:rFonts w:hint="eastAsia"/>
        </w:rPr>
      </w:pPr>
      <w:r>
        <w:continuationSeparator/>
      </w:r>
    </w:p>
  </w:footnote>
  <w:footnote w:id="1">
    <w:p w:rsidR="00DE6461" w:rsidRDefault="00BB53F9">
      <w:pPr>
        <w:pStyle w:val="Footnote"/>
        <w:rPr>
          <w:rFonts w:ascii="Times New Roman" w:hAnsi="Times New Roman"/>
          <w:sz w:val="18"/>
          <w:szCs w:val="18"/>
        </w:rPr>
      </w:pPr>
      <w:r>
        <w:rPr>
          <w:rFonts w:ascii="Times New Roman" w:hAnsi="Times New Roman"/>
          <w:sz w:val="18"/>
          <w:szCs w:val="18"/>
        </w:rPr>
        <w:footnoteRef/>
      </w:r>
      <w:r>
        <w:rPr>
          <w:rFonts w:ascii="Times New Roman" w:hAnsi="Times New Roman"/>
          <w:sz w:val="18"/>
          <w:szCs w:val="18"/>
        </w:rPr>
        <w:tab/>
        <w:t>Article 2(1)(a), Paris Agreement (2015, COP21 UNFCCC).</w:t>
      </w:r>
    </w:p>
  </w:footnote>
  <w:footnote w:id="2">
    <w:p w:rsidR="00DE6461" w:rsidRDefault="00BB53F9">
      <w:pPr>
        <w:pStyle w:val="Footnote"/>
        <w:rPr>
          <w:rFonts w:ascii="Times New Roman" w:hAnsi="Times New Roman"/>
          <w:sz w:val="18"/>
          <w:szCs w:val="18"/>
        </w:rPr>
      </w:pPr>
      <w:r>
        <w:rPr>
          <w:rFonts w:ascii="Times New Roman" w:hAnsi="Times New Roman"/>
          <w:sz w:val="18"/>
          <w:szCs w:val="18"/>
        </w:rPr>
        <w:footnoteRef/>
      </w:r>
      <w:r>
        <w:rPr>
          <w:rFonts w:ascii="Times New Roman" w:hAnsi="Times New Roman"/>
          <w:sz w:val="18"/>
          <w:szCs w:val="18"/>
        </w:rPr>
        <w:tab/>
        <w:t xml:space="preserve">AJ Bradbrook, 'Energy Law as an Academic </w:t>
      </w:r>
      <w:r>
        <w:rPr>
          <w:rFonts w:ascii="Times New Roman" w:hAnsi="Times New Roman"/>
          <w:sz w:val="18"/>
          <w:szCs w:val="18"/>
        </w:rPr>
        <w:t>Discipline' (1996) 14: 2 JERL 194.</w:t>
      </w:r>
    </w:p>
  </w:footnote>
  <w:footnote w:id="3">
    <w:p w:rsidR="00DE6461" w:rsidRDefault="00BB53F9">
      <w:pPr>
        <w:pStyle w:val="Footnote"/>
        <w:rPr>
          <w:rFonts w:ascii="Times New Roman" w:hAnsi="Times New Roman"/>
          <w:sz w:val="18"/>
          <w:szCs w:val="18"/>
        </w:rPr>
      </w:pPr>
      <w:r>
        <w:rPr>
          <w:rFonts w:ascii="Times New Roman" w:hAnsi="Times New Roman"/>
          <w:sz w:val="18"/>
          <w:szCs w:val="18"/>
        </w:rPr>
        <w:footnoteRef/>
      </w:r>
      <w:r>
        <w:rPr>
          <w:rFonts w:ascii="Times New Roman" w:hAnsi="Times New Roman"/>
          <w:sz w:val="18"/>
          <w:szCs w:val="18"/>
        </w:rPr>
        <w:tab/>
        <w:t xml:space="preserve">S Bell, D McGillivray, and O Pedersen, </w:t>
      </w:r>
      <w:r>
        <w:rPr>
          <w:rFonts w:ascii="Times New Roman" w:hAnsi="Times New Roman"/>
          <w:i/>
          <w:iCs/>
          <w:sz w:val="18"/>
          <w:szCs w:val="18"/>
        </w:rPr>
        <w:t>Environmental Law</w:t>
      </w:r>
      <w:r>
        <w:rPr>
          <w:rFonts w:ascii="Times New Roman" w:hAnsi="Times New Roman"/>
          <w:sz w:val="18"/>
          <w:szCs w:val="18"/>
        </w:rPr>
        <w:t xml:space="preserve"> (8</w:t>
      </w:r>
      <w:r>
        <w:rPr>
          <w:rFonts w:ascii="Times New Roman" w:hAnsi="Times New Roman"/>
          <w:sz w:val="18"/>
          <w:szCs w:val="18"/>
          <w:vertAlign w:val="superscript"/>
        </w:rPr>
        <w:t>th</w:t>
      </w:r>
      <w:r>
        <w:rPr>
          <w:rFonts w:ascii="Times New Roman" w:hAnsi="Times New Roman"/>
          <w:sz w:val="18"/>
          <w:szCs w:val="18"/>
        </w:rPr>
        <w:t xml:space="preserve"> ed, OUP 2013) 554.</w:t>
      </w:r>
    </w:p>
  </w:footnote>
  <w:footnote w:id="4">
    <w:p w:rsidR="00DE6461" w:rsidRDefault="00BB53F9">
      <w:pPr>
        <w:pStyle w:val="Footnote"/>
        <w:rPr>
          <w:rFonts w:ascii="Times New Roman" w:hAnsi="Times New Roman"/>
          <w:sz w:val="18"/>
          <w:szCs w:val="18"/>
        </w:rPr>
      </w:pPr>
      <w:r>
        <w:rPr>
          <w:rFonts w:ascii="Times New Roman" w:hAnsi="Times New Roman"/>
          <w:sz w:val="18"/>
          <w:szCs w:val="18"/>
        </w:rPr>
        <w:footnoteRef/>
      </w:r>
      <w:r>
        <w:rPr>
          <w:rFonts w:ascii="Times New Roman" w:hAnsi="Times New Roman"/>
          <w:sz w:val="18"/>
          <w:szCs w:val="18"/>
        </w:rPr>
        <w:tab/>
        <w:t>Directive 2009/28/EC of 23 April 2009 on the promotion of the use of energy from renewable sources [2009] OJ L140/16, para (6).</w:t>
      </w:r>
    </w:p>
  </w:footnote>
  <w:footnote w:id="5">
    <w:p w:rsidR="00DE6461" w:rsidRDefault="00BB53F9">
      <w:pPr>
        <w:pStyle w:val="Footnote"/>
        <w:rPr>
          <w:rFonts w:ascii="Times New Roman" w:hAnsi="Times New Roman"/>
          <w:i/>
          <w:iCs/>
          <w:sz w:val="18"/>
          <w:szCs w:val="18"/>
        </w:rPr>
      </w:pPr>
      <w:r>
        <w:rPr>
          <w:rFonts w:ascii="Times New Roman" w:hAnsi="Times New Roman"/>
          <w:i/>
          <w:iCs/>
          <w:sz w:val="18"/>
          <w:szCs w:val="18"/>
        </w:rPr>
        <w:footnoteRef/>
      </w:r>
      <w:r>
        <w:rPr>
          <w:rFonts w:ascii="Times New Roman" w:hAnsi="Times New Roman"/>
          <w:i/>
          <w:iCs/>
          <w:sz w:val="18"/>
          <w:szCs w:val="18"/>
        </w:rPr>
        <w:tab/>
        <w:t xml:space="preserve">R (on </w:t>
      </w:r>
      <w:r>
        <w:rPr>
          <w:rFonts w:ascii="Times New Roman" w:hAnsi="Times New Roman"/>
          <w:i/>
          <w:iCs/>
          <w:sz w:val="18"/>
          <w:szCs w:val="18"/>
        </w:rPr>
        <w:t xml:space="preserve">the application of ClientEarth) v Secretary of State for the Environment, Food and Rural Affairs </w:t>
      </w:r>
      <w:r>
        <w:rPr>
          <w:rFonts w:ascii="Times New Roman" w:hAnsi="Times New Roman"/>
          <w:sz w:val="18"/>
          <w:szCs w:val="18"/>
        </w:rPr>
        <w:t>[2015] UKSC 28.</w:t>
      </w:r>
    </w:p>
  </w:footnote>
  <w:footnote w:id="6">
    <w:p w:rsidR="00DE6461" w:rsidRDefault="00BB53F9">
      <w:pPr>
        <w:pStyle w:val="Footnote"/>
        <w:rPr>
          <w:rFonts w:ascii="Times New Roman" w:hAnsi="Times New Roman"/>
          <w:sz w:val="18"/>
          <w:szCs w:val="18"/>
        </w:rPr>
      </w:pPr>
      <w:r>
        <w:rPr>
          <w:rFonts w:ascii="Times New Roman" w:hAnsi="Times New Roman"/>
          <w:sz w:val="18"/>
          <w:szCs w:val="18"/>
        </w:rPr>
        <w:footnoteRef/>
      </w:r>
      <w:r>
        <w:rPr>
          <w:rFonts w:ascii="Times New Roman" w:hAnsi="Times New Roman"/>
          <w:sz w:val="18"/>
          <w:szCs w:val="18"/>
        </w:rPr>
        <w:tab/>
        <w:t>Section 1, Climate Change Act 2008.</w:t>
      </w:r>
    </w:p>
  </w:footnote>
  <w:footnote w:id="7">
    <w:p w:rsidR="00DE6461" w:rsidRDefault="00BB53F9">
      <w:pPr>
        <w:pStyle w:val="Footnote"/>
        <w:rPr>
          <w:rFonts w:ascii="Times New Roman" w:hAnsi="Times New Roman"/>
          <w:sz w:val="18"/>
          <w:szCs w:val="18"/>
        </w:rPr>
      </w:pPr>
      <w:r>
        <w:rPr>
          <w:rFonts w:ascii="Times New Roman" w:hAnsi="Times New Roman"/>
          <w:sz w:val="18"/>
          <w:szCs w:val="18"/>
        </w:rPr>
        <w:footnoteRef/>
      </w:r>
      <w:r>
        <w:rPr>
          <w:rFonts w:ascii="Times New Roman" w:hAnsi="Times New Roman"/>
          <w:sz w:val="18"/>
          <w:szCs w:val="18"/>
        </w:rPr>
        <w:tab/>
        <w:t xml:space="preserve">S Moore, '2020 Hindsight: Does the renewable energy target help the UK decarbonise?' </w:t>
      </w:r>
      <w:r>
        <w:rPr>
          <w:rFonts w:ascii="Times New Roman" w:hAnsi="Times New Roman"/>
          <w:i/>
          <w:iCs/>
          <w:sz w:val="18"/>
          <w:szCs w:val="18"/>
        </w:rPr>
        <w:t>Policy Exchange</w:t>
      </w:r>
      <w:r>
        <w:rPr>
          <w:rFonts w:ascii="Times New Roman" w:hAnsi="Times New Roman"/>
          <w:sz w:val="18"/>
          <w:szCs w:val="18"/>
        </w:rPr>
        <w:t xml:space="preserve"> (2</w:t>
      </w:r>
      <w:r>
        <w:rPr>
          <w:rFonts w:ascii="Times New Roman" w:hAnsi="Times New Roman"/>
          <w:sz w:val="18"/>
          <w:szCs w:val="18"/>
        </w:rPr>
        <w:t>011, London).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3AFA"/>
    <w:multiLevelType w:val="multilevel"/>
    <w:tmpl w:val="E32803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CE460BB"/>
    <w:multiLevelType w:val="multilevel"/>
    <w:tmpl w:val="52A84D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1"/>
    <w:footnote w:id="0"/>
  </w:footnotePr>
  <w:endnotePr>
    <w:endnote w:id="-1"/>
    <w:endnote w:id="0"/>
  </w:endnotePr>
  <w:compat>
    <w:useFELayout/>
  </w:compat>
  <w:rsids>
    <w:rsidRoot w:val="00DE6461"/>
    <w:rsid w:val="007C7552"/>
    <w:rsid w:val="00BB53F9"/>
    <w:rsid w:val="00DE64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61"/>
    <w:pPr>
      <w:widowControl w:val="0"/>
    </w:pPr>
    <w:rPr>
      <w:color w:val="00000A"/>
      <w:sz w:val="24"/>
    </w:rPr>
  </w:style>
  <w:style w:type="paragraph" w:styleId="Heading1">
    <w:name w:val="heading 1"/>
    <w:basedOn w:val="Heading"/>
    <w:qFormat/>
    <w:rsid w:val="00DE6461"/>
    <w:pPr>
      <w:outlineLvl w:val="0"/>
    </w:pPr>
    <w:rPr>
      <w:b/>
      <w:bCs/>
      <w:sz w:val="36"/>
      <w:szCs w:val="36"/>
    </w:rPr>
  </w:style>
  <w:style w:type="paragraph" w:styleId="Heading2">
    <w:name w:val="heading 2"/>
    <w:basedOn w:val="Heading"/>
    <w:qFormat/>
    <w:rsid w:val="00DE6461"/>
    <w:pPr>
      <w:spacing w:before="200"/>
      <w:outlineLvl w:val="1"/>
    </w:pPr>
    <w:rPr>
      <w:b/>
      <w:bCs/>
      <w:sz w:val="32"/>
      <w:szCs w:val="32"/>
    </w:rPr>
  </w:style>
  <w:style w:type="paragraph" w:styleId="Heading3">
    <w:name w:val="heading 3"/>
    <w:basedOn w:val="Heading"/>
    <w:qFormat/>
    <w:rsid w:val="00DE6461"/>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sid w:val="00DE6461"/>
  </w:style>
  <w:style w:type="character" w:customStyle="1" w:styleId="FootnoteCharacters">
    <w:name w:val="Footnote Characters"/>
    <w:qFormat/>
    <w:rsid w:val="00DE6461"/>
  </w:style>
  <w:style w:type="character" w:customStyle="1" w:styleId="FootnoteAnchor">
    <w:name w:val="Footnote Anchor"/>
    <w:rsid w:val="00DE6461"/>
    <w:rPr>
      <w:vertAlign w:val="superscript"/>
    </w:rPr>
  </w:style>
  <w:style w:type="character" w:customStyle="1" w:styleId="EndnoteAnchor">
    <w:name w:val="Endnote Anchor"/>
    <w:rsid w:val="00DE6461"/>
    <w:rPr>
      <w:vertAlign w:val="superscript"/>
    </w:rPr>
  </w:style>
  <w:style w:type="character" w:customStyle="1" w:styleId="EndnoteCharacters">
    <w:name w:val="Endnote Characters"/>
    <w:qFormat/>
    <w:rsid w:val="00DE6461"/>
  </w:style>
  <w:style w:type="character" w:customStyle="1" w:styleId="BalloonTextChar">
    <w:name w:val="Balloon Text Char"/>
    <w:basedOn w:val="DefaultParagraphFont"/>
    <w:link w:val="BalloonText"/>
    <w:uiPriority w:val="99"/>
    <w:semiHidden/>
    <w:qFormat/>
    <w:rsid w:val="004C67B1"/>
    <w:rPr>
      <w:rFonts w:ascii="Segoe UI" w:hAnsi="Segoe UI"/>
      <w:color w:val="00000A"/>
      <w:sz w:val="18"/>
      <w:szCs w:val="16"/>
    </w:rPr>
  </w:style>
  <w:style w:type="character" w:styleId="Emphasis">
    <w:name w:val="Emphasis"/>
    <w:qFormat/>
    <w:rsid w:val="00DE6461"/>
    <w:rPr>
      <w:i/>
      <w:iCs/>
    </w:rPr>
  </w:style>
  <w:style w:type="paragraph" w:customStyle="1" w:styleId="Heading">
    <w:name w:val="Heading"/>
    <w:basedOn w:val="Normal"/>
    <w:next w:val="TextBody"/>
    <w:qFormat/>
    <w:rsid w:val="00DE6461"/>
    <w:pPr>
      <w:keepNext/>
      <w:spacing w:before="240" w:after="120"/>
    </w:pPr>
    <w:rPr>
      <w:rFonts w:ascii="Liberation Sans" w:eastAsia="Microsoft YaHei" w:hAnsi="Liberation Sans"/>
      <w:sz w:val="28"/>
      <w:szCs w:val="28"/>
    </w:rPr>
  </w:style>
  <w:style w:type="paragraph" w:customStyle="1" w:styleId="TextBody">
    <w:name w:val="Text Body"/>
    <w:basedOn w:val="Normal"/>
    <w:rsid w:val="00DE6461"/>
    <w:pPr>
      <w:spacing w:after="140" w:line="288" w:lineRule="auto"/>
    </w:pPr>
  </w:style>
  <w:style w:type="paragraph" w:styleId="List">
    <w:name w:val="List"/>
    <w:basedOn w:val="TextBody"/>
    <w:rsid w:val="00DE6461"/>
  </w:style>
  <w:style w:type="paragraph" w:styleId="Caption">
    <w:name w:val="caption"/>
    <w:basedOn w:val="Normal"/>
    <w:qFormat/>
    <w:rsid w:val="00DE6461"/>
    <w:pPr>
      <w:suppressLineNumbers/>
      <w:spacing w:before="120" w:after="120"/>
    </w:pPr>
    <w:rPr>
      <w:i/>
      <w:iCs/>
    </w:rPr>
  </w:style>
  <w:style w:type="paragraph" w:customStyle="1" w:styleId="Index">
    <w:name w:val="Index"/>
    <w:basedOn w:val="Normal"/>
    <w:qFormat/>
    <w:rsid w:val="00DE6461"/>
    <w:pPr>
      <w:suppressLineNumbers/>
    </w:pPr>
  </w:style>
  <w:style w:type="paragraph" w:customStyle="1" w:styleId="Quotations">
    <w:name w:val="Quotations"/>
    <w:basedOn w:val="Normal"/>
    <w:qFormat/>
    <w:rsid w:val="00DE6461"/>
    <w:pPr>
      <w:spacing w:after="283"/>
      <w:ind w:left="567" w:right="567"/>
    </w:pPr>
  </w:style>
  <w:style w:type="paragraph" w:styleId="Title">
    <w:name w:val="Title"/>
    <w:basedOn w:val="Heading"/>
    <w:qFormat/>
    <w:rsid w:val="00DE6461"/>
    <w:pPr>
      <w:jc w:val="center"/>
    </w:pPr>
    <w:rPr>
      <w:b/>
      <w:bCs/>
      <w:sz w:val="56"/>
      <w:szCs w:val="56"/>
    </w:rPr>
  </w:style>
  <w:style w:type="paragraph" w:styleId="Subtitle">
    <w:name w:val="Subtitle"/>
    <w:basedOn w:val="Heading"/>
    <w:qFormat/>
    <w:rsid w:val="00DE6461"/>
    <w:pPr>
      <w:spacing w:before="60"/>
      <w:jc w:val="center"/>
    </w:pPr>
    <w:rPr>
      <w:sz w:val="36"/>
      <w:szCs w:val="36"/>
    </w:rPr>
  </w:style>
  <w:style w:type="paragraph" w:customStyle="1" w:styleId="Footnote">
    <w:name w:val="Footnote"/>
    <w:basedOn w:val="Normal"/>
    <w:rsid w:val="00DE6461"/>
    <w:pPr>
      <w:suppressLineNumbers/>
      <w:ind w:left="339" w:hanging="339"/>
    </w:pPr>
    <w:rPr>
      <w:sz w:val="20"/>
      <w:szCs w:val="20"/>
    </w:rPr>
  </w:style>
  <w:style w:type="paragraph" w:customStyle="1" w:styleId="TableContents">
    <w:name w:val="Table Contents"/>
    <w:basedOn w:val="Normal"/>
    <w:qFormat/>
    <w:rsid w:val="00DE6461"/>
    <w:pPr>
      <w:suppressLineNumbers/>
    </w:pPr>
  </w:style>
  <w:style w:type="paragraph" w:customStyle="1" w:styleId="TableHeading">
    <w:name w:val="Table Heading"/>
    <w:basedOn w:val="TableContents"/>
    <w:qFormat/>
    <w:rsid w:val="00DE6461"/>
    <w:pPr>
      <w:jc w:val="center"/>
    </w:pPr>
    <w:rPr>
      <w:b/>
      <w:bCs/>
    </w:rPr>
  </w:style>
  <w:style w:type="paragraph" w:styleId="Footer">
    <w:name w:val="footer"/>
    <w:basedOn w:val="Normal"/>
    <w:rsid w:val="00DE6461"/>
  </w:style>
  <w:style w:type="paragraph" w:styleId="BalloonText">
    <w:name w:val="Balloon Text"/>
    <w:basedOn w:val="Normal"/>
    <w:link w:val="BalloonTextChar"/>
    <w:uiPriority w:val="99"/>
    <w:semiHidden/>
    <w:unhideWhenUsed/>
    <w:qFormat/>
    <w:rsid w:val="004C67B1"/>
    <w:rPr>
      <w:rFonts w:ascii="Segoe UI" w:hAnsi="Segoe UI"/>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2829</Words>
  <Characters>16130</Characters>
  <Application>Microsoft Office Word</Application>
  <DocSecurity>0</DocSecurity>
  <Lines>134</Lines>
  <Paragraphs>37</Paragraphs>
  <ScaleCrop>false</ScaleCrop>
  <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TOUGH</cp:lastModifiedBy>
  <cp:revision>2</cp:revision>
  <dcterms:created xsi:type="dcterms:W3CDTF">2016-03-07T08:00:00Z</dcterms:created>
  <dcterms:modified xsi:type="dcterms:W3CDTF">2016-03-07T08:00:00Z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