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73" w:rsidRDefault="00F17673">
      <w:pPr>
        <w:pStyle w:val="BodyText"/>
      </w:pPr>
    </w:p>
    <w:p w:rsidR="00191839" w:rsidRDefault="00907400" w:rsidP="008809D4">
      <w:pPr>
        <w:pStyle w:val="BodyText"/>
        <w:jc w:val="center"/>
        <w:rPr>
          <w:b/>
          <w:sz w:val="32"/>
          <w:szCs w:val="32"/>
        </w:rPr>
      </w:pPr>
      <w:r>
        <w:rPr>
          <w:b/>
          <w:sz w:val="32"/>
          <w:szCs w:val="32"/>
        </w:rPr>
        <w:t>IAN WHITEHURST</w:t>
      </w:r>
    </w:p>
    <w:p w:rsidR="008809D4" w:rsidRPr="00191839" w:rsidRDefault="00191839" w:rsidP="008809D4">
      <w:pPr>
        <w:pStyle w:val="BodyText"/>
        <w:jc w:val="center"/>
        <w:rPr>
          <w:b/>
          <w:sz w:val="24"/>
          <w:szCs w:val="24"/>
          <w:u w:val="single"/>
        </w:rPr>
      </w:pPr>
      <w:r>
        <w:rPr>
          <w:b/>
          <w:sz w:val="24"/>
          <w:szCs w:val="24"/>
          <w:u w:val="single"/>
        </w:rPr>
        <w:br/>
      </w:r>
      <w:r w:rsidR="00907400">
        <w:rPr>
          <w:b/>
          <w:sz w:val="24"/>
          <w:szCs w:val="24"/>
          <w:u w:val="single"/>
        </w:rPr>
        <w:t>FAMILY</w:t>
      </w:r>
      <w:r w:rsidR="009F146C">
        <w:rPr>
          <w:b/>
          <w:sz w:val="24"/>
          <w:szCs w:val="24"/>
          <w:u w:val="single"/>
        </w:rPr>
        <w:t xml:space="preserve"> LAW </w:t>
      </w:r>
      <w:r w:rsidR="008809D4" w:rsidRPr="00191839">
        <w:rPr>
          <w:b/>
          <w:sz w:val="24"/>
          <w:szCs w:val="24"/>
          <w:u w:val="single"/>
        </w:rPr>
        <w:t>CV</w:t>
      </w:r>
    </w:p>
    <w:p w:rsidR="008809D4" w:rsidRDefault="00907400">
      <w:pPr>
        <w:pStyle w:val="BodyText"/>
      </w:pPr>
      <w:r>
        <w:rPr>
          <w:noProof/>
          <w:lang w:val="en-GB" w:eastAsia="en-GB"/>
        </w:rPr>
        <w:drawing>
          <wp:anchor distT="0" distB="0" distL="114300" distR="114300" simplePos="0" relativeHeight="251658240" behindDoc="1" locked="0" layoutInCell="1" allowOverlap="1">
            <wp:simplePos x="0" y="0"/>
            <wp:positionH relativeFrom="column">
              <wp:posOffset>5705475</wp:posOffset>
            </wp:positionH>
            <wp:positionV relativeFrom="paragraph">
              <wp:posOffset>284480</wp:posOffset>
            </wp:positionV>
            <wp:extent cx="857250" cy="1190625"/>
            <wp:effectExtent l="19050" t="0" r="0" b="0"/>
            <wp:wrapSquare wrapText="bothSides"/>
            <wp:docPr id="5" name="Picture 1" descr="2016Leading barr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Leading barrister"/>
                    <pic:cNvPicPr>
                      <a:picLocks noChangeAspect="1" noChangeArrowheads="1"/>
                    </pic:cNvPicPr>
                  </pic:nvPicPr>
                  <pic:blipFill>
                    <a:blip r:embed="rId8"/>
                    <a:srcRect/>
                    <a:stretch>
                      <a:fillRect/>
                    </a:stretch>
                  </pic:blipFill>
                  <pic:spPr bwMode="auto">
                    <a:xfrm>
                      <a:off x="0" y="0"/>
                      <a:ext cx="857250" cy="1190625"/>
                    </a:xfrm>
                    <a:prstGeom prst="rect">
                      <a:avLst/>
                    </a:prstGeom>
                    <a:noFill/>
                    <a:ln w="9525">
                      <a:noFill/>
                      <a:miter lim="800000"/>
                      <a:headEnd/>
                      <a:tailEnd/>
                    </a:ln>
                  </pic:spPr>
                </pic:pic>
              </a:graphicData>
            </a:graphic>
          </wp:anchor>
        </w:drawing>
      </w:r>
    </w:p>
    <w:p w:rsidR="008809D4" w:rsidRDefault="00191839" w:rsidP="00907400">
      <w:pPr>
        <w:pStyle w:val="BodyText"/>
      </w:pPr>
      <w:r w:rsidRPr="00191839">
        <w:rPr>
          <w:b/>
        </w:rPr>
        <w:t>Year of Call</w:t>
      </w:r>
      <w:r w:rsidR="00907400">
        <w:t xml:space="preserve">: 1994  </w:t>
      </w:r>
      <w:r w:rsidR="008809D4">
        <w:t xml:space="preserve"> </w:t>
      </w:r>
    </w:p>
    <w:p w:rsidR="008809D4" w:rsidRDefault="008809D4">
      <w:pPr>
        <w:pStyle w:val="BodyText"/>
      </w:pPr>
      <w:r w:rsidRPr="00191839">
        <w:rPr>
          <w:b/>
        </w:rPr>
        <w:t>Contact</w:t>
      </w:r>
      <w:r>
        <w:t xml:space="preserve"> </w:t>
      </w:r>
      <w:r w:rsidR="00191839">
        <w:br/>
        <w:t xml:space="preserve">Email: </w:t>
      </w:r>
      <w:hyperlink r:id="rId9" w:history="1">
        <w:r w:rsidR="00907400" w:rsidRPr="00470F26">
          <w:rPr>
            <w:rStyle w:val="Hyperlink"/>
          </w:rPr>
          <w:t>ianwhitehurst@6pumpcourt.co.uk</w:t>
        </w:r>
      </w:hyperlink>
      <w:r w:rsidR="00191839">
        <w:br/>
        <w:t>Tel: 020 7797 8400</w:t>
      </w:r>
    </w:p>
    <w:p w:rsidR="00C07CCA" w:rsidRDefault="008809D4" w:rsidP="00907400">
      <w:pPr>
        <w:pStyle w:val="BodyText"/>
      </w:pPr>
      <w:r w:rsidRPr="00191839">
        <w:rPr>
          <w:b/>
        </w:rPr>
        <w:t>Education</w:t>
      </w:r>
      <w:r w:rsidR="00191839">
        <w:br/>
      </w:r>
      <w:r w:rsidR="00907400" w:rsidRPr="00907400">
        <w:t>University of Hull, LLB (</w:t>
      </w:r>
      <w:proofErr w:type="spellStart"/>
      <w:r w:rsidR="00907400" w:rsidRPr="00907400">
        <w:t>Hons</w:t>
      </w:r>
      <w:proofErr w:type="spellEnd"/>
      <w:r w:rsidR="00907400" w:rsidRPr="00907400">
        <w:t>) (1993)</w:t>
      </w:r>
    </w:p>
    <w:p w:rsidR="00C07CCA" w:rsidRDefault="00C07CCA" w:rsidP="00907400">
      <w:pPr>
        <w:pStyle w:val="BodyText"/>
      </w:pPr>
      <w:r>
        <w:rPr>
          <w:b/>
        </w:rPr>
        <w:t>Appointments</w:t>
      </w:r>
      <w:r>
        <w:rPr>
          <w:b/>
        </w:rPr>
        <w:br/>
      </w:r>
      <w:r w:rsidR="00907400">
        <w:t>Licensed Advocate Isle of Man (2012)</w:t>
      </w:r>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000"/>
      </w:tblPr>
      <w:tblGrid>
        <w:gridCol w:w="10188"/>
      </w:tblGrid>
      <w:tr w:rsidR="00F17673" w:rsidTr="007221E9">
        <w:trPr>
          <w:trHeight w:val="60"/>
        </w:trPr>
        <w:tc>
          <w:tcPr>
            <w:tcW w:w="10218" w:type="dxa"/>
          </w:tcPr>
          <w:p w:rsidR="007221E9" w:rsidRDefault="007221E9" w:rsidP="007221E9">
            <w:pPr>
              <w:pStyle w:val="BodyText"/>
              <w:rPr>
                <w:b/>
              </w:rPr>
            </w:pPr>
            <w:bookmarkStart w:id="0" w:name="_GoBack"/>
            <w:bookmarkEnd w:id="0"/>
          </w:p>
          <w:p w:rsidR="00F17673" w:rsidRPr="007221E9" w:rsidRDefault="007221E9">
            <w:pPr>
              <w:pStyle w:val="BodyText"/>
              <w:rPr>
                <w:b/>
                <w:u w:val="single"/>
              </w:rPr>
            </w:pPr>
            <w:r w:rsidRPr="007221E9">
              <w:rPr>
                <w:b/>
                <w:u w:val="single"/>
              </w:rPr>
              <w:t>RECOMMENDATIONS</w:t>
            </w:r>
          </w:p>
        </w:tc>
      </w:tr>
    </w:tbl>
    <w:p w:rsidR="001A3835" w:rsidRDefault="00191839" w:rsidP="007221E9">
      <w:pPr>
        <w:pStyle w:val="BodyText"/>
        <w:jc w:val="center"/>
        <w:rPr>
          <w:b/>
        </w:rPr>
      </w:pPr>
      <w:r>
        <w:rPr>
          <w:i/>
        </w:rPr>
        <w:t>“</w:t>
      </w:r>
      <w:r w:rsidR="00907400" w:rsidRPr="00907400">
        <w:rPr>
          <w:i/>
        </w:rPr>
        <w:t xml:space="preserve">He has a very good client manner, and he has real strength in terms of his ability to tease out the issues </w:t>
      </w:r>
      <w:r w:rsidR="007221E9">
        <w:rPr>
          <w:i/>
        </w:rPr>
        <w:t xml:space="preserve"> </w:t>
      </w:r>
      <w:r w:rsidR="007221E9">
        <w:rPr>
          <w:i/>
        </w:rPr>
        <w:br/>
        <w:t xml:space="preserve">   </w:t>
      </w:r>
      <w:r w:rsidR="00907400" w:rsidRPr="00907400">
        <w:rPr>
          <w:i/>
        </w:rPr>
        <w:t>of the case."</w:t>
      </w:r>
      <w:r w:rsidR="007221E9">
        <w:rPr>
          <w:i/>
        </w:rPr>
        <w:br/>
      </w:r>
      <w:r w:rsidR="007221E9">
        <w:rPr>
          <w:b/>
        </w:rPr>
        <w:t xml:space="preserve">   </w:t>
      </w:r>
      <w:r w:rsidR="00907400">
        <w:rPr>
          <w:b/>
        </w:rPr>
        <w:t xml:space="preserve">Chambers UK </w:t>
      </w:r>
      <w:proofErr w:type="gramStart"/>
      <w:r w:rsidR="00907400">
        <w:rPr>
          <w:b/>
        </w:rPr>
        <w:t>Bar</w:t>
      </w:r>
      <w:proofErr w:type="gramEnd"/>
      <w:r w:rsidR="00907400">
        <w:rPr>
          <w:b/>
        </w:rPr>
        <w:t xml:space="preserve"> Guide</w:t>
      </w:r>
      <w:r w:rsidRPr="00191839">
        <w:rPr>
          <w:b/>
        </w:rPr>
        <w:t xml:space="preserve"> 2015</w:t>
      </w:r>
      <w:r w:rsidR="00531293">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0296"/>
      </w:tblGrid>
      <w:tr w:rsidR="00F17673" w:rsidTr="007221E9">
        <w:trPr>
          <w:trHeight w:val="60"/>
        </w:trPr>
        <w:tc>
          <w:tcPr>
            <w:tcW w:w="10296" w:type="dxa"/>
          </w:tcPr>
          <w:p w:rsidR="001A3835" w:rsidRPr="007221E9" w:rsidRDefault="001A3835" w:rsidP="007221E9">
            <w:pPr>
              <w:pStyle w:val="BodyText"/>
              <w:rPr>
                <w:u w:val="single"/>
              </w:rPr>
            </w:pPr>
            <w:r>
              <w:rPr>
                <w:b/>
              </w:rPr>
              <w:br/>
            </w:r>
            <w:r w:rsidR="00907400" w:rsidRPr="007221E9">
              <w:rPr>
                <w:b/>
                <w:u w:val="single"/>
              </w:rPr>
              <w:t>FAMILY</w:t>
            </w:r>
            <w:r w:rsidR="009F146C" w:rsidRPr="007221E9">
              <w:rPr>
                <w:b/>
                <w:u w:val="single"/>
              </w:rPr>
              <w:t xml:space="preserve"> LAW</w:t>
            </w:r>
            <w:r w:rsidRPr="007221E9">
              <w:rPr>
                <w:b/>
                <w:u w:val="single"/>
              </w:rPr>
              <w:t xml:space="preserve"> PROFILE</w:t>
            </w:r>
          </w:p>
        </w:tc>
      </w:tr>
    </w:tbl>
    <w:p w:rsidR="00907400" w:rsidRPr="00907400" w:rsidRDefault="007221E9" w:rsidP="00907400">
      <w:pPr>
        <w:pStyle w:val="BodyText"/>
        <w:rPr>
          <w:b/>
        </w:rPr>
      </w:pPr>
      <w:r>
        <w:rPr>
          <w:b/>
        </w:rPr>
        <w:br/>
      </w:r>
      <w:r w:rsidR="00907400" w:rsidRPr="00907400">
        <w:rPr>
          <w:b/>
        </w:rPr>
        <w:t>Areas of Expertise</w:t>
      </w:r>
    </w:p>
    <w:p w:rsidR="00907400" w:rsidRDefault="00907400" w:rsidP="00907400">
      <w:pPr>
        <w:pStyle w:val="BodyText"/>
      </w:pPr>
      <w:r>
        <w:t>Financial Remedies &amp; Confiscation Proceedings</w:t>
      </w:r>
    </w:p>
    <w:p w:rsidR="00907400" w:rsidRDefault="00907400" w:rsidP="00907400">
      <w:pPr>
        <w:pStyle w:val="BodyText"/>
      </w:pPr>
      <w:r>
        <w:t>Freezing Orders &amp; Injunctive Relief</w:t>
      </w:r>
    </w:p>
    <w:p w:rsidR="00907400" w:rsidRDefault="00907400" w:rsidP="00907400">
      <w:pPr>
        <w:pStyle w:val="BodyText"/>
      </w:pPr>
      <w:r>
        <w:t>Public Interest Immunity Applications</w:t>
      </w:r>
      <w:r w:rsidR="007221E9">
        <w:br/>
      </w:r>
    </w:p>
    <w:p w:rsidR="00907400" w:rsidRPr="00907400" w:rsidRDefault="007221E9" w:rsidP="00907400">
      <w:pPr>
        <w:pStyle w:val="BodyText"/>
        <w:rPr>
          <w:b/>
        </w:rPr>
      </w:pPr>
      <w:r>
        <w:rPr>
          <w:b/>
        </w:rPr>
        <w:t>Practice</w:t>
      </w:r>
    </w:p>
    <w:p w:rsidR="00907400" w:rsidRDefault="00907400" w:rsidP="00907400">
      <w:pPr>
        <w:pStyle w:val="BodyText"/>
      </w:pPr>
      <w:r>
        <w:t xml:space="preserve">Ian </w:t>
      </w:r>
      <w:proofErr w:type="spellStart"/>
      <w:r>
        <w:t>specialises</w:t>
      </w:r>
      <w:proofErr w:type="spellEnd"/>
      <w:r>
        <w:t xml:space="preserve"> mainly in commercial fraud which includes restraint and confiscation proceedings for individuals and companies.  Through his work in these fields as well as his injunctive experience in the civil jurisdiction, he can provide astute professional advice on all aspects of financial remedy work </w:t>
      </w:r>
      <w:r>
        <w:lastRenderedPageBreak/>
        <w:t>which involve protecting the rights of interested third parties during confiscation and restraint proceedings.</w:t>
      </w:r>
    </w:p>
    <w:p w:rsidR="00907400" w:rsidRDefault="00907400" w:rsidP="00907400">
      <w:pPr>
        <w:pStyle w:val="BodyText"/>
      </w:pPr>
    </w:p>
    <w:p w:rsidR="00907400" w:rsidRDefault="00907400" w:rsidP="00907400">
      <w:pPr>
        <w:pStyle w:val="BodyText"/>
      </w:pPr>
      <w:r>
        <w:t>Furthermore, through his extensive experience in dealing with serious sexual offences in the criminal courts, he is ideally placed to advise local authorities and other interested parties on issues of public interest immunity and how it applies at the inter-face between criminal and family litigation.</w:t>
      </w:r>
    </w:p>
    <w:p w:rsidR="00907400" w:rsidRDefault="00907400" w:rsidP="00907400">
      <w:pPr>
        <w:pStyle w:val="BodyText"/>
      </w:pPr>
    </w:p>
    <w:p w:rsidR="00191839" w:rsidRDefault="00907400" w:rsidP="00907400">
      <w:pPr>
        <w:pStyle w:val="BodyText"/>
      </w:pPr>
      <w:r>
        <w:t>Ian is ranked as a leading junior in crime and financial crime in the Legal 500 and Chambers &amp; Partners current directories.</w:t>
      </w:r>
    </w:p>
    <w:sectPr w:rsidR="00191839" w:rsidSect="007221E9">
      <w:foot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1A" w:rsidRDefault="0040511A">
      <w:r>
        <w:separator/>
      </w:r>
    </w:p>
  </w:endnote>
  <w:endnote w:type="continuationSeparator" w:id="0">
    <w:p w:rsidR="0040511A" w:rsidRDefault="00405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DE" w:rsidRDefault="002E4C39">
    <w:pPr>
      <w:pStyle w:val="Footer"/>
    </w:pPr>
    <w:r>
      <w:fldChar w:fldCharType="begin"/>
    </w:r>
    <w:r w:rsidR="001F21FF">
      <w:instrText xml:space="preserve"> Page </w:instrText>
    </w:r>
    <w:r>
      <w:fldChar w:fldCharType="separate"/>
    </w:r>
    <w:r w:rsidR="007221E9">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1A" w:rsidRDefault="0040511A">
      <w:r>
        <w:separator/>
      </w:r>
    </w:p>
  </w:footnote>
  <w:footnote w:type="continuationSeparator" w:id="0">
    <w:p w:rsidR="0040511A" w:rsidRDefault="00405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16" w:type="dxa"/>
      <w:tblLook w:val="04A0"/>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F17673"/>
    <w:rsid w:val="000201D0"/>
    <w:rsid w:val="000B233E"/>
    <w:rsid w:val="00191839"/>
    <w:rsid w:val="001A3835"/>
    <w:rsid w:val="001F21FF"/>
    <w:rsid w:val="002E4C39"/>
    <w:rsid w:val="0040511A"/>
    <w:rsid w:val="00437BEB"/>
    <w:rsid w:val="004642F2"/>
    <w:rsid w:val="00531293"/>
    <w:rsid w:val="005B14D8"/>
    <w:rsid w:val="00696143"/>
    <w:rsid w:val="007162C8"/>
    <w:rsid w:val="007221E9"/>
    <w:rsid w:val="0076219F"/>
    <w:rsid w:val="0078650F"/>
    <w:rsid w:val="007C65C4"/>
    <w:rsid w:val="008118CC"/>
    <w:rsid w:val="00830A7B"/>
    <w:rsid w:val="00846307"/>
    <w:rsid w:val="008809D4"/>
    <w:rsid w:val="00890679"/>
    <w:rsid w:val="00907400"/>
    <w:rsid w:val="00913927"/>
    <w:rsid w:val="00941F7A"/>
    <w:rsid w:val="00995900"/>
    <w:rsid w:val="009F146C"/>
    <w:rsid w:val="00A46974"/>
    <w:rsid w:val="00BA551E"/>
    <w:rsid w:val="00BC5647"/>
    <w:rsid w:val="00BE3FB4"/>
    <w:rsid w:val="00C07CCA"/>
    <w:rsid w:val="00C67C44"/>
    <w:rsid w:val="00D516FC"/>
    <w:rsid w:val="00E026A1"/>
    <w:rsid w:val="00E6166C"/>
    <w:rsid w:val="00E961D6"/>
    <w:rsid w:val="00F015DE"/>
    <w:rsid w:val="00F176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191839"/>
    <w:rPr>
      <w:color w:val="002FFF" w:themeColor="hyperlink"/>
      <w:u w:val="single"/>
    </w:rPr>
  </w:style>
  <w:style w:type="table" w:styleId="LightShading-Accent5">
    <w:name w:val="Light Shading Accent 5"/>
    <w:basedOn w:val="TableNormal"/>
    <w:uiPriority w:val="60"/>
    <w:rsid w:val="007221E9"/>
    <w:rPr>
      <w:color w:val="514979" w:themeColor="accent5" w:themeShade="BF"/>
    </w:rPr>
    <w:tblPr>
      <w:tblStyleRowBandSize w:val="1"/>
      <w:tblStyleColBandSize w:val="1"/>
      <w:tblInd w:w="0" w:type="dxa"/>
      <w:tblBorders>
        <w:top w:val="single" w:sz="8" w:space="0" w:color="6E64A1" w:themeColor="accent5"/>
        <w:bottom w:val="single" w:sz="8" w:space="0" w:color="6E64A1"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64A1" w:themeColor="accent5"/>
          <w:left w:val="nil"/>
          <w:bottom w:val="single" w:sz="8" w:space="0" w:color="6E64A1" w:themeColor="accent5"/>
          <w:right w:val="nil"/>
          <w:insideH w:val="nil"/>
          <w:insideV w:val="nil"/>
        </w:tcBorders>
      </w:tcPr>
    </w:tblStylePr>
    <w:tblStylePr w:type="lastRow">
      <w:pPr>
        <w:spacing w:before="0" w:after="0" w:line="240" w:lineRule="auto"/>
      </w:pPr>
      <w:rPr>
        <w:b/>
        <w:bCs/>
      </w:rPr>
      <w:tblPr/>
      <w:tcPr>
        <w:tcBorders>
          <w:top w:val="single" w:sz="8" w:space="0" w:color="6E64A1" w:themeColor="accent5"/>
          <w:left w:val="nil"/>
          <w:bottom w:val="single" w:sz="8" w:space="0" w:color="6E64A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8E7" w:themeFill="accent5" w:themeFillTint="3F"/>
      </w:tcPr>
    </w:tblStylePr>
    <w:tblStylePr w:type="band1Horz">
      <w:tblPr/>
      <w:tcPr>
        <w:tcBorders>
          <w:left w:val="nil"/>
          <w:right w:val="nil"/>
          <w:insideH w:val="nil"/>
          <w:insideV w:val="nil"/>
        </w:tcBorders>
        <w:shd w:val="clear" w:color="auto" w:fill="DAD8E7" w:themeFill="accent5" w:themeFillTint="3F"/>
      </w:tcPr>
    </w:tblStylePr>
  </w:style>
  <w:style w:type="table" w:styleId="LightShading-Accent4">
    <w:name w:val="Light Shading Accent 4"/>
    <w:basedOn w:val="TableNormal"/>
    <w:uiPriority w:val="60"/>
    <w:rsid w:val="007221E9"/>
    <w:rPr>
      <w:color w:val="3E0944" w:themeColor="accent4" w:themeShade="BF"/>
    </w:rPr>
    <w:tblPr>
      <w:tblStyleRowBandSize w:val="1"/>
      <w:tblStyleColBandSize w:val="1"/>
      <w:tblInd w:w="0" w:type="dxa"/>
      <w:tblBorders>
        <w:top w:val="single" w:sz="8" w:space="0" w:color="540D5C" w:themeColor="accent4"/>
        <w:bottom w:val="single" w:sz="8" w:space="0" w:color="540D5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0D5C" w:themeColor="accent4"/>
          <w:left w:val="nil"/>
          <w:bottom w:val="single" w:sz="8" w:space="0" w:color="540D5C" w:themeColor="accent4"/>
          <w:right w:val="nil"/>
          <w:insideH w:val="nil"/>
          <w:insideV w:val="nil"/>
        </w:tcBorders>
      </w:tcPr>
    </w:tblStylePr>
    <w:tblStylePr w:type="lastRow">
      <w:pPr>
        <w:spacing w:before="0" w:after="0" w:line="240" w:lineRule="auto"/>
      </w:pPr>
      <w:rPr>
        <w:b/>
        <w:bCs/>
      </w:rPr>
      <w:tblPr/>
      <w:tcPr>
        <w:tcBorders>
          <w:top w:val="single" w:sz="8" w:space="0" w:color="540D5C" w:themeColor="accent4"/>
          <w:left w:val="nil"/>
          <w:bottom w:val="single" w:sz="8" w:space="0" w:color="540D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A7F2" w:themeFill="accent4" w:themeFillTint="3F"/>
      </w:tcPr>
    </w:tblStylePr>
    <w:tblStylePr w:type="band1Horz">
      <w:tblPr/>
      <w:tcPr>
        <w:tcBorders>
          <w:left w:val="nil"/>
          <w:right w:val="nil"/>
          <w:insideH w:val="nil"/>
          <w:insideV w:val="nil"/>
        </w:tcBorders>
        <w:shd w:val="clear" w:color="auto" w:fill="EAA7F2" w:themeFill="accent4" w:themeFillTint="3F"/>
      </w:tcPr>
    </w:tblStylePr>
  </w:style>
  <w:style w:type="table" w:styleId="LightShading-Accent3">
    <w:name w:val="Light Shading Accent 3"/>
    <w:basedOn w:val="TableNormal"/>
    <w:uiPriority w:val="60"/>
    <w:rsid w:val="007221E9"/>
    <w:rPr>
      <w:color w:val="87539F" w:themeColor="accent3" w:themeShade="BF"/>
    </w:rPr>
    <w:tblPr>
      <w:tblStyleRowBandSize w:val="1"/>
      <w:tblStyleColBandSize w:val="1"/>
      <w:tblInd w:w="0" w:type="dxa"/>
      <w:tblBorders>
        <w:top w:val="single" w:sz="8" w:space="0" w:color="AD85BF" w:themeColor="accent3"/>
        <w:bottom w:val="single" w:sz="8" w:space="0" w:color="AD85B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D85BF" w:themeColor="accent3"/>
          <w:left w:val="nil"/>
          <w:bottom w:val="single" w:sz="8" w:space="0" w:color="AD85BF" w:themeColor="accent3"/>
          <w:right w:val="nil"/>
          <w:insideH w:val="nil"/>
          <w:insideV w:val="nil"/>
        </w:tcBorders>
      </w:tcPr>
    </w:tblStylePr>
    <w:tblStylePr w:type="lastRow">
      <w:pPr>
        <w:spacing w:before="0" w:after="0" w:line="240" w:lineRule="auto"/>
      </w:pPr>
      <w:rPr>
        <w:b/>
        <w:bCs/>
      </w:rPr>
      <w:tblPr/>
      <w:tcPr>
        <w:tcBorders>
          <w:top w:val="single" w:sz="8" w:space="0" w:color="AD85BF" w:themeColor="accent3"/>
          <w:left w:val="nil"/>
          <w:bottom w:val="single" w:sz="8" w:space="0" w:color="AD85B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EF" w:themeFill="accent3" w:themeFillTint="3F"/>
      </w:tcPr>
    </w:tblStylePr>
    <w:tblStylePr w:type="band1Horz">
      <w:tblPr/>
      <w:tcPr>
        <w:tcBorders>
          <w:left w:val="nil"/>
          <w:right w:val="nil"/>
          <w:insideH w:val="nil"/>
          <w:insideV w:val="nil"/>
        </w:tcBorders>
        <w:shd w:val="clear" w:color="auto" w:fill="EAE0EF" w:themeFill="accent3" w:themeFillTint="3F"/>
      </w:tcPr>
    </w:tblStylePr>
  </w:style>
  <w:style w:type="table" w:styleId="LightShading-Accent2">
    <w:name w:val="Light Shading Accent 2"/>
    <w:basedOn w:val="TableNormal"/>
    <w:uiPriority w:val="60"/>
    <w:rsid w:val="007221E9"/>
    <w:rPr>
      <w:color w:val="C24B5B" w:themeColor="accent2" w:themeShade="BF"/>
    </w:rPr>
    <w:tblPr>
      <w:tblStyleRowBandSize w:val="1"/>
      <w:tblStyleColBandSize w:val="1"/>
      <w:tblInd w:w="0" w:type="dxa"/>
      <w:tblBorders>
        <w:top w:val="single" w:sz="8" w:space="0" w:color="D98F99" w:themeColor="accent2"/>
        <w:bottom w:val="single" w:sz="8" w:space="0" w:color="D98F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98F99" w:themeColor="accent2"/>
          <w:left w:val="nil"/>
          <w:bottom w:val="single" w:sz="8" w:space="0" w:color="D98F99" w:themeColor="accent2"/>
          <w:right w:val="nil"/>
          <w:insideH w:val="nil"/>
          <w:insideV w:val="nil"/>
        </w:tcBorders>
      </w:tcPr>
    </w:tblStylePr>
    <w:tblStylePr w:type="lastRow">
      <w:pPr>
        <w:spacing w:before="0" w:after="0" w:line="240" w:lineRule="auto"/>
      </w:pPr>
      <w:rPr>
        <w:b/>
        <w:bCs/>
      </w:rPr>
      <w:tblPr/>
      <w:tcPr>
        <w:tcBorders>
          <w:top w:val="single" w:sz="8" w:space="0" w:color="D98F99" w:themeColor="accent2"/>
          <w:left w:val="nil"/>
          <w:bottom w:val="single" w:sz="8" w:space="0" w:color="D98F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3E5" w:themeFill="accent2" w:themeFillTint="3F"/>
      </w:tcPr>
    </w:tblStylePr>
    <w:tblStylePr w:type="band1Horz">
      <w:tblPr/>
      <w:tcPr>
        <w:tcBorders>
          <w:left w:val="nil"/>
          <w:right w:val="nil"/>
          <w:insideH w:val="nil"/>
          <w:insideV w:val="nil"/>
        </w:tcBorders>
        <w:shd w:val="clear" w:color="auto" w:fill="F5E3E5" w:themeFill="accent2" w:themeFillTint="3F"/>
      </w:tcPr>
    </w:tblStylePr>
  </w:style>
  <w:style w:type="table" w:styleId="LightShading-Accent1">
    <w:name w:val="Light Shading Accent 1"/>
    <w:basedOn w:val="TableNormal"/>
    <w:uiPriority w:val="60"/>
    <w:rsid w:val="007221E9"/>
    <w:rPr>
      <w:color w:val="7E0D1F" w:themeColor="accent1" w:themeShade="BF"/>
    </w:rPr>
    <w:tblPr>
      <w:tblStyleRowBandSize w:val="1"/>
      <w:tblStyleColBandSize w:val="1"/>
      <w:tblInd w:w="0" w:type="dxa"/>
      <w:tblBorders>
        <w:top w:val="single" w:sz="8" w:space="0" w:color="A9122A" w:themeColor="accent1"/>
        <w:bottom w:val="single" w:sz="8" w:space="0" w:color="A9122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9122A" w:themeColor="accent1"/>
          <w:left w:val="nil"/>
          <w:bottom w:val="single" w:sz="8" w:space="0" w:color="A9122A" w:themeColor="accent1"/>
          <w:right w:val="nil"/>
          <w:insideH w:val="nil"/>
          <w:insideV w:val="nil"/>
        </w:tcBorders>
      </w:tcPr>
    </w:tblStylePr>
    <w:tblStylePr w:type="lastRow">
      <w:pPr>
        <w:spacing w:before="0" w:after="0" w:line="240" w:lineRule="auto"/>
      </w:pPr>
      <w:rPr>
        <w:b/>
        <w:bCs/>
      </w:rPr>
      <w:tblPr/>
      <w:tcPr>
        <w:tcBorders>
          <w:top w:val="single" w:sz="8" w:space="0" w:color="A9122A" w:themeColor="accent1"/>
          <w:left w:val="nil"/>
          <w:bottom w:val="single" w:sz="8" w:space="0" w:color="A9122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6C0" w:themeFill="accent1" w:themeFillTint="3F"/>
      </w:tcPr>
    </w:tblStylePr>
    <w:tblStylePr w:type="band1Horz">
      <w:tblPr/>
      <w:tcPr>
        <w:tcBorders>
          <w:left w:val="nil"/>
          <w:right w:val="nil"/>
          <w:insideH w:val="nil"/>
          <w:insideV w:val="nil"/>
        </w:tcBorders>
        <w:shd w:val="clear" w:color="auto" w:fill="F7B6C0" w:themeFill="accent1" w:themeFillTint="3F"/>
      </w:tcPr>
    </w:tblStylePr>
  </w:style>
  <w:style w:type="table" w:styleId="TableGrid">
    <w:name w:val="Table Grid"/>
    <w:basedOn w:val="TableNormal"/>
    <w:uiPriority w:val="59"/>
    <w:rsid w:val="0072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69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nwhitehurst@6pumpcour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AF72-FAE4-4CC5-A00D-92A67242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TOUGH</cp:lastModifiedBy>
  <cp:revision>2</cp:revision>
  <cp:lastPrinted>2016-03-14T10:59:00Z</cp:lastPrinted>
  <dcterms:created xsi:type="dcterms:W3CDTF">2016-03-14T16:11:00Z</dcterms:created>
  <dcterms:modified xsi:type="dcterms:W3CDTF">2016-03-14T16:11:00Z</dcterms:modified>
</cp:coreProperties>
</file>