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3" w:rsidRDefault="00F17673">
      <w:pPr>
        <w:pStyle w:val="BodyText"/>
      </w:pPr>
    </w:p>
    <w:p w:rsidR="009254D6" w:rsidRPr="009254D6" w:rsidRDefault="009254D6" w:rsidP="009254D6">
      <w:pPr>
        <w:spacing w:after="200"/>
        <w:jc w:val="center"/>
        <w:rPr>
          <w:b/>
          <w:sz w:val="32"/>
          <w:szCs w:val="32"/>
        </w:rPr>
      </w:pPr>
      <w:r w:rsidRPr="009254D6">
        <w:rPr>
          <w:b/>
          <w:sz w:val="32"/>
          <w:szCs w:val="32"/>
        </w:rPr>
        <w:t>STUART JESSOP</w:t>
      </w:r>
    </w:p>
    <w:p w:rsidR="009254D6" w:rsidRPr="009254D6" w:rsidRDefault="009254D6" w:rsidP="009254D6">
      <w:pPr>
        <w:spacing w:after="200"/>
        <w:jc w:val="center"/>
        <w:rPr>
          <w:b/>
          <w:sz w:val="32"/>
          <w:szCs w:val="32"/>
        </w:rPr>
      </w:pPr>
    </w:p>
    <w:p w:rsidR="009254D6" w:rsidRPr="009254D6" w:rsidRDefault="009254D6" w:rsidP="009254D6">
      <w:pPr>
        <w:spacing w:after="200"/>
        <w:jc w:val="center"/>
        <w:rPr>
          <w:b/>
          <w:sz w:val="24"/>
          <w:szCs w:val="24"/>
        </w:rPr>
      </w:pPr>
      <w:r w:rsidRPr="009254D6">
        <w:rPr>
          <w:b/>
          <w:sz w:val="24"/>
          <w:szCs w:val="24"/>
        </w:rPr>
        <w:t xml:space="preserve"> </w:t>
      </w:r>
      <w:r>
        <w:rPr>
          <w:b/>
          <w:sz w:val="24"/>
          <w:szCs w:val="24"/>
        </w:rPr>
        <w:t>REGULATORY LAW</w:t>
      </w:r>
      <w:r w:rsidRPr="009254D6">
        <w:rPr>
          <w:b/>
          <w:sz w:val="24"/>
          <w:szCs w:val="24"/>
        </w:rPr>
        <w:t xml:space="preserve"> CV</w:t>
      </w:r>
    </w:p>
    <w:p w:rsidR="009254D6" w:rsidRPr="009254D6" w:rsidRDefault="009254D6" w:rsidP="009254D6">
      <w:pPr>
        <w:spacing w:after="200"/>
      </w:pPr>
    </w:p>
    <w:p w:rsidR="009254D6" w:rsidRPr="009254D6" w:rsidRDefault="009254D6" w:rsidP="009254D6">
      <w:pPr>
        <w:spacing w:after="200"/>
      </w:pPr>
      <w:r w:rsidRPr="009254D6">
        <w:rPr>
          <w:u w:val="single"/>
        </w:rPr>
        <w:t>Year of Call</w:t>
      </w:r>
      <w:r w:rsidRPr="009254D6">
        <w:t xml:space="preserve">:    2002     </w:t>
      </w:r>
    </w:p>
    <w:p w:rsidR="009254D6" w:rsidRPr="009254D6" w:rsidRDefault="009254D6" w:rsidP="009254D6">
      <w:pPr>
        <w:spacing w:after="200"/>
      </w:pPr>
      <w:r w:rsidRPr="009254D6">
        <w:rPr>
          <w:u w:val="single"/>
        </w:rPr>
        <w:t>Contact</w:t>
      </w:r>
      <w:r w:rsidRPr="009254D6">
        <w:t>:          stuartjessop@6pumpcourt.co.uk</w:t>
      </w:r>
    </w:p>
    <w:p w:rsidR="009254D6" w:rsidRPr="009254D6" w:rsidRDefault="009254D6" w:rsidP="009254D6">
      <w:pPr>
        <w:spacing w:after="200"/>
      </w:pPr>
      <w:r w:rsidRPr="009254D6">
        <w:rPr>
          <w:u w:val="single"/>
        </w:rPr>
        <w:t>Education</w:t>
      </w:r>
      <w:r w:rsidRPr="009254D6">
        <w:t xml:space="preserve">:  </w:t>
      </w:r>
      <w:r w:rsidRPr="009254D6">
        <w:tab/>
        <w:t>Bsc (Hons) 1st</w:t>
      </w:r>
    </w:p>
    <w:tbl>
      <w:tblPr>
        <w:tblW w:w="0" w:type="auto"/>
        <w:tblInd w:w="108" w:type="dxa"/>
        <w:tblBorders>
          <w:top w:val="single" w:sz="4" w:space="0" w:color="000000" w:themeColor="text1"/>
        </w:tblBorders>
        <w:tblLook w:val="0000" w:firstRow="0" w:lastRow="0" w:firstColumn="0" w:lastColumn="0" w:noHBand="0" w:noVBand="0"/>
      </w:tblPr>
      <w:tblGrid>
        <w:gridCol w:w="10248"/>
      </w:tblGrid>
      <w:tr w:rsidR="00F17673" w:rsidTr="00F17673">
        <w:trPr>
          <w:trHeight w:val="100"/>
        </w:trPr>
        <w:tc>
          <w:tcPr>
            <w:tcW w:w="10248" w:type="dxa"/>
          </w:tcPr>
          <w:p w:rsidR="00F17673" w:rsidRDefault="008809D4">
            <w:pPr>
              <w:pStyle w:val="BodyText"/>
            </w:pPr>
            <w:r>
              <w:br/>
            </w:r>
          </w:p>
        </w:tc>
      </w:tr>
    </w:tbl>
    <w:sdt>
      <w:sdtPr>
        <w:rPr>
          <w:sz w:val="24"/>
          <w:szCs w:val="24"/>
        </w:rPr>
        <w:id w:val="9459735"/>
        <w:placeholder>
          <w:docPart w:val="1D41DAA341EFF642BEA6638A2517D932"/>
        </w:placeholder>
      </w:sdtPr>
      <w:sdtEndPr/>
      <w:sdtContent>
        <w:p w:rsidR="00C25303" w:rsidRPr="009254D6" w:rsidRDefault="00C25303" w:rsidP="00C25303">
          <w:pPr>
            <w:spacing w:before="100" w:beforeAutospacing="1" w:after="100" w:afterAutospacing="1" w:line="280" w:lineRule="atLeast"/>
            <w:jc w:val="both"/>
            <w:rPr>
              <w:rFonts w:ascii="Palatino Linotype" w:hAnsi="Palatino Linotype"/>
              <w:b/>
              <w:bCs/>
              <w:sz w:val="24"/>
              <w:szCs w:val="24"/>
              <w:u w:val="single"/>
              <w:lang w:eastAsia="en-GB"/>
            </w:rPr>
          </w:pPr>
          <w:r w:rsidRPr="009254D6">
            <w:rPr>
              <w:rFonts w:ascii="Palatino Linotype" w:hAnsi="Palatino Linotype"/>
              <w:b/>
              <w:bCs/>
              <w:sz w:val="24"/>
              <w:szCs w:val="24"/>
              <w:u w:val="single"/>
              <w:lang w:eastAsia="en-GB"/>
            </w:rPr>
            <w:t xml:space="preserve"> REGULATORY LAW</w:t>
          </w:r>
        </w:p>
        <w:p w:rsidR="00F17673" w:rsidRPr="009254D6" w:rsidRDefault="00C25303" w:rsidP="009254D6">
          <w:pPr>
            <w:spacing w:before="100" w:beforeAutospacing="1" w:after="100" w:afterAutospacing="1" w:line="280" w:lineRule="atLeast"/>
            <w:jc w:val="both"/>
            <w:rPr>
              <w:rFonts w:ascii="Palatino Linotype" w:hAnsi="Palatino Linotype"/>
              <w:b/>
              <w:bCs/>
              <w:sz w:val="24"/>
              <w:szCs w:val="24"/>
              <w:lang w:eastAsia="en-GB"/>
            </w:rPr>
          </w:pPr>
          <w:r w:rsidRPr="009254D6">
            <w:rPr>
              <w:rFonts w:ascii="Palatino Linotype" w:hAnsi="Palatino Linotype"/>
              <w:b/>
              <w:bCs/>
              <w:sz w:val="24"/>
              <w:szCs w:val="24"/>
              <w:lang w:eastAsia="en-GB"/>
            </w:rPr>
            <w:t>Stuart is a specialist regulatory lawyer with significant experience in a variety of regulatory areas. In particular, he has extensive experience in the Proceeds of Crime Act 2002 generally and specifically in relation to its use by regulators, as well as corporate and other organisations in the context of private prosecutions. His practice focuses on the following regulatory areas</w:t>
          </w:r>
          <w:r w:rsidR="009254D6" w:rsidRPr="009254D6">
            <w:rPr>
              <w:rFonts w:ascii="Palatino Linotype" w:hAnsi="Palatino Linotype"/>
              <w:b/>
              <w:bCs/>
              <w:sz w:val="24"/>
              <w:szCs w:val="24"/>
              <w:lang w:eastAsia="en-GB"/>
            </w:rPr>
            <w:t>.</w:t>
          </w:r>
        </w:p>
      </w:sdtContent>
    </w:sdt>
    <w:p w:rsidR="00F17673" w:rsidRPr="009254D6" w:rsidRDefault="00F17673">
      <w:pPr>
        <w:pStyle w:val="BodyText"/>
        <w:rPr>
          <w:sz w:val="24"/>
          <w:szCs w:val="24"/>
        </w:rPr>
      </w:pPr>
    </w:p>
    <w:p w:rsidR="00F17673" w:rsidRPr="009254D6" w:rsidRDefault="00F17673">
      <w:pPr>
        <w:pStyle w:val="BodyText"/>
        <w:rPr>
          <w:sz w:val="24"/>
          <w:szCs w:val="24"/>
        </w:rPr>
      </w:pPr>
      <w:r w:rsidRPr="009254D6">
        <w:rPr>
          <w:sz w:val="24"/>
          <w:szCs w:val="24"/>
        </w:rPr>
        <w:t xml:space="preserve">PROFILE </w:t>
      </w:r>
    </w:p>
    <w:tbl>
      <w:tblPr>
        <w:tblW w:w="0" w:type="auto"/>
        <w:tblInd w:w="108" w:type="dxa"/>
        <w:tblBorders>
          <w:top w:val="single" w:sz="4" w:space="0" w:color="auto"/>
        </w:tblBorders>
        <w:tblLook w:val="0000" w:firstRow="0" w:lastRow="0" w:firstColumn="0" w:lastColumn="0" w:noHBand="0" w:noVBand="0"/>
      </w:tblPr>
      <w:tblGrid>
        <w:gridCol w:w="10248"/>
      </w:tblGrid>
      <w:tr w:rsidR="00F17673" w:rsidRPr="009254D6" w:rsidTr="00F17673">
        <w:trPr>
          <w:trHeight w:val="100"/>
        </w:trPr>
        <w:tc>
          <w:tcPr>
            <w:tcW w:w="10248" w:type="dxa"/>
          </w:tcPr>
          <w:p w:rsidR="00F17673" w:rsidRPr="009254D6" w:rsidRDefault="00F17673">
            <w:pPr>
              <w:pStyle w:val="BodyText"/>
              <w:rPr>
                <w:sz w:val="24"/>
                <w:szCs w:val="24"/>
              </w:rPr>
            </w:pPr>
          </w:p>
        </w:tc>
      </w:tr>
    </w:tbl>
    <w:sdt>
      <w:sdtPr>
        <w:rPr>
          <w:sz w:val="24"/>
          <w:szCs w:val="24"/>
        </w:rPr>
        <w:id w:val="9459754"/>
        <w:placeholder>
          <w:docPart w:val="56B38178D4A9FC4E8FF7C8D970714927"/>
        </w:placeholder>
      </w:sdtPr>
      <w:sdtEndPr/>
      <w:sdtContent>
        <w:p w:rsidR="00C25303" w:rsidRPr="009254D6" w:rsidRDefault="009254D6" w:rsidP="00C25303">
          <w:pPr>
            <w:spacing w:before="100" w:beforeAutospacing="1" w:after="100" w:afterAutospacing="1" w:line="280" w:lineRule="atLeast"/>
            <w:jc w:val="both"/>
            <w:rPr>
              <w:rFonts w:ascii="Palatino Linotype" w:hAnsi="Palatino Linotype"/>
              <w:b/>
              <w:bCs/>
              <w:sz w:val="24"/>
              <w:szCs w:val="24"/>
              <w:lang w:eastAsia="en-GB"/>
            </w:rPr>
          </w:pPr>
          <w:r w:rsidRPr="009254D6">
            <w:rPr>
              <w:b/>
              <w:sz w:val="24"/>
              <w:szCs w:val="24"/>
            </w:rPr>
            <w:t>L</w:t>
          </w:r>
          <w:r w:rsidR="00C25303" w:rsidRPr="009254D6">
            <w:rPr>
              <w:rFonts w:ascii="Palatino Linotype" w:hAnsi="Palatino Linotype"/>
              <w:b/>
              <w:bCs/>
              <w:sz w:val="24"/>
              <w:szCs w:val="24"/>
              <w:lang w:eastAsia="en-GB"/>
            </w:rPr>
            <w:t>icensing</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sz w:val="24"/>
              <w:szCs w:val="24"/>
              <w:lang w:eastAsia="en-GB"/>
            </w:rPr>
            <w:t xml:space="preserve">The main focus of Stuart’s licensing work is on alcohol licensing, entertainment, gambling and taxi licensing although the full range of work in this area is undertaken, including Security Industry Authority and Shotgun Licensing cases. He regularly appears both at licensing sub-committee review hearings and also at appeals and by way of case stated and in Judicial Review proceedings and is able to advice on all licensing matters. Current cases include reviews of a range of licensed premises and appeals concerning procedures under the Licensing Act. He takes instructions from companies, individuals and local authorities. </w:t>
          </w:r>
        </w:p>
        <w:p w:rsidR="00C25303" w:rsidRPr="009254D6" w:rsidRDefault="009254D6" w:rsidP="00C25303">
          <w:pPr>
            <w:spacing w:before="100" w:beforeAutospacing="1" w:after="100" w:afterAutospacing="1" w:line="280" w:lineRule="atLeast"/>
            <w:jc w:val="both"/>
            <w:rPr>
              <w:rFonts w:ascii="Palatino Linotype" w:hAnsi="Palatino Linotype"/>
              <w:bCs/>
              <w:sz w:val="24"/>
              <w:szCs w:val="24"/>
              <w:u w:val="single"/>
              <w:lang w:eastAsia="en-GB"/>
            </w:rPr>
          </w:pPr>
          <w:r w:rsidRPr="009254D6">
            <w:rPr>
              <w:rFonts w:ascii="Palatino Linotype" w:hAnsi="Palatino Linotype"/>
              <w:bCs/>
              <w:sz w:val="24"/>
              <w:szCs w:val="24"/>
              <w:lang w:eastAsia="en-GB"/>
            </w:rPr>
            <w:lastRenderedPageBreak/>
            <w:br/>
          </w:r>
          <w:r w:rsidRPr="009254D6">
            <w:rPr>
              <w:rFonts w:ascii="Palatino Linotype" w:hAnsi="Palatino Linotype"/>
              <w:bCs/>
              <w:sz w:val="24"/>
              <w:szCs w:val="24"/>
              <w:u w:val="single"/>
              <w:lang w:eastAsia="en-GB"/>
            </w:rPr>
            <w:t>RECENT CASES</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i/>
              <w:sz w:val="24"/>
              <w:szCs w:val="24"/>
              <w:lang w:eastAsia="en-GB"/>
            </w:rPr>
            <w:t>G v. London Borough of Tower Hamlets</w:t>
          </w:r>
          <w:r w:rsidRPr="009254D6">
            <w:rPr>
              <w:rFonts w:ascii="Palatino Linotype" w:hAnsi="Palatino Linotype"/>
              <w:bCs/>
              <w:sz w:val="24"/>
              <w:szCs w:val="24"/>
              <w:lang w:eastAsia="en-GB"/>
            </w:rPr>
            <w:t>: Appeal against revocation.</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i/>
              <w:sz w:val="24"/>
              <w:szCs w:val="24"/>
              <w:lang w:eastAsia="en-GB"/>
            </w:rPr>
            <w:t>B v. London Borough of Redbridge:</w:t>
          </w:r>
          <w:r w:rsidRPr="009254D6">
            <w:rPr>
              <w:rFonts w:ascii="Palatino Linotype" w:hAnsi="Palatino Linotype"/>
              <w:bCs/>
              <w:sz w:val="24"/>
              <w:szCs w:val="24"/>
              <w:lang w:eastAsia="en-GB"/>
            </w:rPr>
            <w:t xml:space="preserve"> Appeal against removal of DPS</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i/>
              <w:sz w:val="24"/>
              <w:szCs w:val="24"/>
              <w:lang w:eastAsia="en-GB"/>
            </w:rPr>
            <w:t>M v. London Borough of Newham</w:t>
          </w:r>
          <w:r w:rsidRPr="009254D6">
            <w:rPr>
              <w:rFonts w:ascii="Palatino Linotype" w:hAnsi="Palatino Linotype"/>
              <w:bCs/>
              <w:sz w:val="24"/>
              <w:szCs w:val="24"/>
              <w:lang w:eastAsia="en-GB"/>
            </w:rPr>
            <w:t>: Appeal against reduction in hours and removal of DPS.</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i/>
              <w:sz w:val="24"/>
              <w:szCs w:val="24"/>
              <w:lang w:eastAsia="en-GB"/>
            </w:rPr>
            <w:t>Tamworth Borough Council v. E</w:t>
          </w:r>
          <w:r w:rsidRPr="009254D6">
            <w:rPr>
              <w:rFonts w:ascii="Palatino Linotype" w:hAnsi="Palatino Linotype"/>
              <w:bCs/>
              <w:sz w:val="24"/>
              <w:szCs w:val="24"/>
              <w:lang w:eastAsia="en-GB"/>
            </w:rPr>
            <w:t>: Review of licence</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i/>
              <w:sz w:val="24"/>
              <w:szCs w:val="24"/>
              <w:lang w:eastAsia="en-GB"/>
            </w:rPr>
            <w:t>London Borough of Enfield v. S:</w:t>
          </w:r>
          <w:r w:rsidRPr="009254D6">
            <w:rPr>
              <w:rFonts w:ascii="Palatino Linotype" w:hAnsi="Palatino Linotype"/>
              <w:bCs/>
              <w:sz w:val="24"/>
              <w:szCs w:val="24"/>
              <w:lang w:eastAsia="en-GB"/>
            </w:rPr>
            <w:t xml:space="preserve"> Review of licence</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i/>
              <w:sz w:val="24"/>
              <w:szCs w:val="24"/>
              <w:lang w:eastAsia="en-GB"/>
            </w:rPr>
            <w:t>P v. London Borough of Enfield:</w:t>
          </w:r>
          <w:r w:rsidRPr="009254D6">
            <w:rPr>
              <w:rFonts w:ascii="Palatino Linotype" w:hAnsi="Palatino Linotype"/>
              <w:bCs/>
              <w:sz w:val="24"/>
              <w:szCs w:val="24"/>
              <w:lang w:eastAsia="en-GB"/>
            </w:rPr>
            <w:t xml:space="preserve"> Appeal against revocation </w:t>
          </w:r>
        </w:p>
        <w:p w:rsidR="00C25303" w:rsidRPr="009254D6" w:rsidRDefault="00C25303" w:rsidP="00C25303">
          <w:pPr>
            <w:spacing w:before="100" w:beforeAutospacing="1" w:after="100" w:afterAutospacing="1" w:line="280" w:lineRule="atLeast"/>
            <w:jc w:val="both"/>
            <w:rPr>
              <w:rFonts w:ascii="Palatino Linotype" w:hAnsi="Palatino Linotype"/>
              <w:b/>
              <w:bCs/>
              <w:sz w:val="24"/>
              <w:szCs w:val="24"/>
              <w:lang w:eastAsia="en-GB"/>
            </w:rPr>
          </w:pPr>
        </w:p>
        <w:p w:rsidR="00C25303" w:rsidRPr="009254D6" w:rsidRDefault="00C25303" w:rsidP="00C25303">
          <w:pPr>
            <w:spacing w:before="100" w:beforeAutospacing="1" w:after="100" w:afterAutospacing="1" w:line="280" w:lineRule="atLeast"/>
            <w:jc w:val="both"/>
            <w:rPr>
              <w:rFonts w:ascii="Palatino Linotype" w:hAnsi="Palatino Linotype"/>
              <w:b/>
              <w:bCs/>
              <w:sz w:val="24"/>
              <w:szCs w:val="24"/>
              <w:lang w:eastAsia="en-GB"/>
            </w:rPr>
          </w:pPr>
          <w:r w:rsidRPr="009254D6">
            <w:rPr>
              <w:rFonts w:ascii="Palatino Linotype" w:hAnsi="Palatino Linotype"/>
              <w:b/>
              <w:bCs/>
              <w:sz w:val="24"/>
              <w:szCs w:val="24"/>
              <w:lang w:eastAsia="en-GB"/>
            </w:rPr>
            <w:t>Environmental and Planning</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sz w:val="24"/>
              <w:szCs w:val="24"/>
              <w:lang w:eastAsia="en-GB"/>
            </w:rPr>
            <w:t>Stuart has represented clients across a wide range of environmental and planning enforcement cases from waste management, nuisance and abatement notices to offences under the Town and Country Planning Act. He has dealt with both criminal prosecutions and appeals and has a particular interest in POCA proceedings arising out of such cases. He is currently advising and representing a landlord in POCA proceedings arising out of several breaches of the TCP Act.</w:t>
          </w:r>
        </w:p>
        <w:p w:rsidR="00C25303" w:rsidRPr="009254D6" w:rsidRDefault="00C25303" w:rsidP="00C25303">
          <w:pPr>
            <w:spacing w:before="100" w:beforeAutospacing="1" w:after="100" w:afterAutospacing="1" w:line="280" w:lineRule="atLeast"/>
            <w:jc w:val="both"/>
            <w:rPr>
              <w:rFonts w:ascii="Palatino Linotype" w:hAnsi="Palatino Linotype"/>
              <w:b/>
              <w:bCs/>
              <w:sz w:val="24"/>
              <w:szCs w:val="24"/>
              <w:lang w:eastAsia="en-GB"/>
            </w:rPr>
          </w:pPr>
          <w:r w:rsidRPr="009254D6">
            <w:rPr>
              <w:rFonts w:ascii="Palatino Linotype" w:hAnsi="Palatino Linotype"/>
              <w:b/>
              <w:bCs/>
              <w:sz w:val="24"/>
              <w:szCs w:val="24"/>
              <w:lang w:eastAsia="en-GB"/>
            </w:rPr>
            <w:t>Food Law</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sz w:val="24"/>
              <w:szCs w:val="24"/>
              <w:lang w:eastAsia="en-GB"/>
            </w:rPr>
            <w:t>Advice and representation is provided in cases relating to breaches of the Food Safety Act 1990, The General Food Regulations 2004, the Food Hygiene Regulations 2006 and all other regulations. Stuart is able to advice in respect of a wide range of food law areas. He is a member of the Food Law Group. He will undertake both defence and prosecution work in this area.</w:t>
          </w:r>
        </w:p>
        <w:p w:rsidR="00C25303" w:rsidRPr="009254D6" w:rsidRDefault="00C25303" w:rsidP="00C25303">
          <w:pPr>
            <w:spacing w:before="100" w:beforeAutospacing="1" w:after="100" w:afterAutospacing="1" w:line="280" w:lineRule="atLeast"/>
            <w:jc w:val="both"/>
            <w:rPr>
              <w:rFonts w:ascii="Palatino Linotype" w:hAnsi="Palatino Linotype"/>
              <w:b/>
              <w:bCs/>
              <w:sz w:val="24"/>
              <w:szCs w:val="24"/>
              <w:lang w:eastAsia="en-GB"/>
            </w:rPr>
          </w:pPr>
          <w:r w:rsidRPr="009254D6">
            <w:rPr>
              <w:rFonts w:ascii="Palatino Linotype" w:hAnsi="Palatino Linotype"/>
              <w:b/>
              <w:bCs/>
              <w:sz w:val="24"/>
              <w:szCs w:val="24"/>
              <w:lang w:eastAsia="en-GB"/>
            </w:rPr>
            <w:t>Trading Standards and Consumer Protection</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sz w:val="24"/>
              <w:szCs w:val="24"/>
              <w:lang w:eastAsia="en-GB"/>
            </w:rPr>
            <w:t xml:space="preserve">Stuart has a long history of providing representation and advice to businesses in relation to a wide variety of trading standards and consumer protection cases. Many cases have concerned trademark infringement and others, under the Consumer Protection from unfair Trading Regulations and Fraud. He can accept instructions for both defence and prosecution work.   </w:t>
          </w:r>
        </w:p>
        <w:p w:rsidR="00C25303" w:rsidRPr="009254D6" w:rsidRDefault="00C25303" w:rsidP="00C25303">
          <w:pPr>
            <w:spacing w:before="100" w:beforeAutospacing="1" w:after="100" w:afterAutospacing="1" w:line="280" w:lineRule="atLeast"/>
            <w:jc w:val="both"/>
            <w:rPr>
              <w:rFonts w:ascii="Palatino Linotype" w:hAnsi="Palatino Linotype"/>
              <w:b/>
              <w:bCs/>
              <w:sz w:val="24"/>
              <w:szCs w:val="24"/>
              <w:lang w:eastAsia="en-GB"/>
            </w:rPr>
          </w:pPr>
          <w:r w:rsidRPr="009254D6">
            <w:rPr>
              <w:rFonts w:ascii="Palatino Linotype" w:hAnsi="Palatino Linotype"/>
              <w:b/>
              <w:bCs/>
              <w:sz w:val="24"/>
              <w:szCs w:val="24"/>
              <w:lang w:eastAsia="en-GB"/>
            </w:rPr>
            <w:t>Financial</w:t>
          </w:r>
          <w:r w:rsidR="00752034">
            <w:rPr>
              <w:rFonts w:ascii="Palatino Linotype" w:hAnsi="Palatino Linotype"/>
              <w:b/>
              <w:bCs/>
              <w:sz w:val="24"/>
              <w:szCs w:val="24"/>
              <w:lang w:eastAsia="en-GB"/>
            </w:rPr>
            <w:t xml:space="preserve"> R</w:t>
          </w:r>
          <w:bookmarkStart w:id="0" w:name="_GoBack"/>
          <w:bookmarkEnd w:id="0"/>
          <w:r w:rsidRPr="009254D6">
            <w:rPr>
              <w:rFonts w:ascii="Palatino Linotype" w:hAnsi="Palatino Linotype"/>
              <w:b/>
              <w:bCs/>
              <w:sz w:val="24"/>
              <w:szCs w:val="24"/>
              <w:lang w:eastAsia="en-GB"/>
            </w:rPr>
            <w:t>egulation</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sz w:val="24"/>
              <w:szCs w:val="24"/>
              <w:lang w:eastAsia="en-GB"/>
            </w:rPr>
            <w:t xml:space="preserve">Having spent some time as an investigating lawyer at the Financial Services Authority and having advised companies on their responsibilities and liabilities in this area of law, Stuart is able to represent clients who face regulatory action by the FCA. He is experienced in advising companies on issues of </w:t>
          </w:r>
          <w:r w:rsidRPr="009254D6">
            <w:rPr>
              <w:rFonts w:ascii="Palatino Linotype" w:hAnsi="Palatino Linotype"/>
              <w:bCs/>
              <w:sz w:val="24"/>
              <w:szCs w:val="24"/>
              <w:lang w:eastAsia="en-GB"/>
            </w:rPr>
            <w:lastRenderedPageBreak/>
            <w:t xml:space="preserve">compliance, including money laundering regulations, AML generally, Anti-bribery and Corruption, and VAT tribunals.  He also has experience of acting in civil proceedings for cash seizures under POCA. </w:t>
          </w:r>
        </w:p>
        <w:p w:rsidR="00C25303" w:rsidRPr="009254D6" w:rsidRDefault="00C25303" w:rsidP="00C25303">
          <w:pPr>
            <w:spacing w:before="100" w:beforeAutospacing="1" w:after="100" w:afterAutospacing="1" w:line="280" w:lineRule="atLeast"/>
            <w:jc w:val="both"/>
            <w:rPr>
              <w:rFonts w:ascii="Palatino Linotype" w:hAnsi="Palatino Linotype"/>
              <w:b/>
              <w:bCs/>
              <w:sz w:val="24"/>
              <w:szCs w:val="24"/>
              <w:lang w:eastAsia="en-GB"/>
            </w:rPr>
          </w:pPr>
          <w:r w:rsidRPr="009254D6">
            <w:rPr>
              <w:rFonts w:ascii="Palatino Linotype" w:hAnsi="Palatino Linotype"/>
              <w:b/>
              <w:bCs/>
              <w:sz w:val="24"/>
              <w:szCs w:val="24"/>
              <w:lang w:eastAsia="en-GB"/>
            </w:rPr>
            <w:t>Professional Discipline</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r w:rsidRPr="009254D6">
            <w:rPr>
              <w:rFonts w:ascii="Palatino Linotype" w:hAnsi="Palatino Linotype"/>
              <w:bCs/>
              <w:sz w:val="24"/>
              <w:szCs w:val="24"/>
              <w:lang w:eastAsia="en-GB"/>
            </w:rPr>
            <w:t>He has advised and or represented clients in Police disciplinary hearings, Football Association disciplinary hearings and has defended in disciplinary action taken against teachers.</w:t>
          </w:r>
        </w:p>
        <w:p w:rsidR="00C25303" w:rsidRPr="009254D6" w:rsidRDefault="00C25303" w:rsidP="00C25303">
          <w:pPr>
            <w:spacing w:before="100" w:beforeAutospacing="1" w:after="100" w:afterAutospacing="1" w:line="280" w:lineRule="atLeast"/>
            <w:jc w:val="both"/>
            <w:rPr>
              <w:rFonts w:ascii="Palatino Linotype" w:hAnsi="Palatino Linotype"/>
              <w:bCs/>
              <w:sz w:val="24"/>
              <w:szCs w:val="24"/>
              <w:lang w:eastAsia="en-GB"/>
            </w:rPr>
          </w:pPr>
        </w:p>
        <w:p w:rsidR="00F015DE" w:rsidRDefault="00A0143C" w:rsidP="00C25303">
          <w:pPr>
            <w:pStyle w:val="BodyText"/>
          </w:pPr>
        </w:p>
      </w:sdtContent>
    </w:sdt>
    <w:p w:rsidR="00F015DE" w:rsidRDefault="00F015DE"/>
    <w:sectPr w:rsidR="00F015DE" w:rsidSect="00F015DE">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3C" w:rsidRDefault="00A0143C">
      <w:r>
        <w:separator/>
      </w:r>
    </w:p>
  </w:endnote>
  <w:endnote w:type="continuationSeparator" w:id="0">
    <w:p w:rsidR="00A0143C" w:rsidRDefault="00A0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5DE" w:rsidRDefault="00E6166C">
    <w:pPr>
      <w:pStyle w:val="Footer"/>
    </w:pPr>
    <w:r>
      <w:fldChar w:fldCharType="begin"/>
    </w:r>
    <w:r w:rsidR="001F21FF">
      <w:instrText xml:space="preserve"> Page </w:instrText>
    </w:r>
    <w:r>
      <w:fldChar w:fldCharType="separate"/>
    </w:r>
    <w:r w:rsidR="0075203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3C" w:rsidRDefault="00A0143C">
      <w:r>
        <w:separator/>
      </w:r>
    </w:p>
  </w:footnote>
  <w:footnote w:type="continuationSeparator" w:id="0">
    <w:p w:rsidR="00A0143C" w:rsidRDefault="00A01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16" w:type="dxa"/>
      <w:tblLook w:val="04A0" w:firstRow="1" w:lastRow="0" w:firstColumn="1" w:lastColumn="0" w:noHBand="0" w:noVBand="1"/>
    </w:tblPr>
    <w:tblGrid>
      <w:gridCol w:w="9583"/>
      <w:gridCol w:w="1433"/>
    </w:tblGrid>
    <w:tr w:rsidR="00F015DE" w:rsidTr="00F17673">
      <w:tc>
        <w:tcPr>
          <w:tcW w:w="9583" w:type="dxa"/>
          <w:vAlign w:val="center"/>
        </w:tcPr>
        <w:p w:rsidR="00F17673" w:rsidRDefault="00F17673">
          <w:pPr>
            <w:pStyle w:val="ContactDetails"/>
          </w:pPr>
          <w:r>
            <w:rPr>
              <w:noProof/>
              <w:lang w:val="en-GB" w:eastAsia="en-GB"/>
            </w:rPr>
            <w:drawing>
              <wp:inline distT="0" distB="0" distL="0" distR="0">
                <wp:extent cx="1649410" cy="1365662"/>
                <wp:effectExtent l="0" t="0" r="1905" b="6350"/>
                <wp:docPr id="1" name="Picture 1" descr="Macintosh HD:Users:pete:Desktop:Screen Shot 2014-08-04 at 13.3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Screen Shot 2014-08-04 at 13.32.2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962" cy="1366119"/>
                        </a:xfrm>
                        <a:prstGeom prst="rect">
                          <a:avLst/>
                        </a:prstGeom>
                        <a:noFill/>
                        <a:ln>
                          <a:noFill/>
                        </a:ln>
                      </pic:spPr>
                    </pic:pic>
                  </a:graphicData>
                </a:graphic>
              </wp:inline>
            </w:drawing>
          </w:r>
          <w:r>
            <w:t xml:space="preserve">   </w:t>
          </w:r>
          <w:r w:rsidRPr="00F17673">
            <w:rPr>
              <w:noProof/>
              <w:lang w:val="en-GB" w:eastAsia="en-GB"/>
            </w:rPr>
            <w:drawing>
              <wp:inline distT="0" distB="0" distL="0" distR="0">
                <wp:extent cx="4108862" cy="975928"/>
                <wp:effectExtent l="0" t="0" r="6350" b="0"/>
                <wp:docPr id="2" name="Picture 2" descr="Macintosh HD:Users:pete:Desktop:Screen Shot 2014-08-04 at 13.3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te:Desktop:Screen Shot 2014-08-04 at 13.35.4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2791" cy="976861"/>
                        </a:xfrm>
                        <a:prstGeom prst="rect">
                          <a:avLst/>
                        </a:prstGeom>
                        <a:noFill/>
                        <a:ln>
                          <a:noFill/>
                        </a:ln>
                      </pic:spPr>
                    </pic:pic>
                  </a:graphicData>
                </a:graphic>
              </wp:inline>
            </w:drawing>
          </w:r>
        </w:p>
      </w:tc>
      <w:tc>
        <w:tcPr>
          <w:tcW w:w="1433" w:type="dxa"/>
          <w:vAlign w:val="center"/>
        </w:tcPr>
        <w:p w:rsidR="00F015DE" w:rsidRDefault="00F015DE">
          <w:pPr>
            <w:pStyle w:val="Initials"/>
          </w:pPr>
        </w:p>
      </w:tc>
    </w:tr>
  </w:tbl>
  <w:p w:rsidR="00F015DE" w:rsidRDefault="00F015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F17673"/>
    <w:rsid w:val="000201D0"/>
    <w:rsid w:val="000B233E"/>
    <w:rsid w:val="000C2619"/>
    <w:rsid w:val="00137519"/>
    <w:rsid w:val="001F21FF"/>
    <w:rsid w:val="0024115E"/>
    <w:rsid w:val="00437BEB"/>
    <w:rsid w:val="004642F2"/>
    <w:rsid w:val="006F5D63"/>
    <w:rsid w:val="00752034"/>
    <w:rsid w:val="0078650F"/>
    <w:rsid w:val="008118CC"/>
    <w:rsid w:val="00822DC6"/>
    <w:rsid w:val="00836407"/>
    <w:rsid w:val="00841776"/>
    <w:rsid w:val="00853D64"/>
    <w:rsid w:val="008809D4"/>
    <w:rsid w:val="009254D6"/>
    <w:rsid w:val="00995900"/>
    <w:rsid w:val="009F17C6"/>
    <w:rsid w:val="00A0143C"/>
    <w:rsid w:val="00BA551E"/>
    <w:rsid w:val="00C25303"/>
    <w:rsid w:val="00D516FC"/>
    <w:rsid w:val="00E6166C"/>
    <w:rsid w:val="00F015DE"/>
    <w:rsid w:val="00F1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18704E-2C54-4139-BE9A-E4B20EDA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unhideWhenUsed/>
    <w:qFormat/>
    <w:rsid w:val="00F17673"/>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F17673"/>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paragraph" w:customStyle="1" w:styleId="EB4AF8902C3F2644A9458A53352192F3">
    <w:name w:val="EB4AF8902C3F2644A9458A53352192F3"/>
    <w:rsid w:val="00F1767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41DAA341EFF642BEA6638A2517D932"/>
        <w:category>
          <w:name w:val="General"/>
          <w:gallery w:val="placeholder"/>
        </w:category>
        <w:types>
          <w:type w:val="bbPlcHdr"/>
        </w:types>
        <w:behaviors>
          <w:behavior w:val="content"/>
        </w:behaviors>
        <w:guid w:val="{FC77B2D6-AF70-8E48-BC0E-11287CDCC2D2}"/>
      </w:docPartPr>
      <w:docPartBody>
        <w:p w:rsidR="004D2E0B" w:rsidRDefault="004D2E0B">
          <w:pPr>
            <w:pStyle w:val="1D41DAA341EFF642BEA6638A2517D932"/>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56B38178D4A9FC4E8FF7C8D970714927"/>
        <w:category>
          <w:name w:val="General"/>
          <w:gallery w:val="placeholder"/>
        </w:category>
        <w:types>
          <w:type w:val="bbPlcHdr"/>
        </w:types>
        <w:behaviors>
          <w:behavior w:val="content"/>
        </w:behaviors>
        <w:guid w:val="{32FBF1EB-EE47-F547-B8A5-04E2D5631F73}"/>
      </w:docPartPr>
      <w:docPartBody>
        <w:p w:rsidR="00B818EC" w:rsidRDefault="004D2E0B">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4D2E0B" w:rsidRDefault="004D2E0B">
          <w:pPr>
            <w:pStyle w:val="56B38178D4A9FC4E8FF7C8D970714927"/>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D2E0B"/>
    <w:rsid w:val="00076D4F"/>
    <w:rsid w:val="000C503C"/>
    <w:rsid w:val="003937CD"/>
    <w:rsid w:val="004D2E0B"/>
    <w:rsid w:val="00905C6D"/>
    <w:rsid w:val="00E26BE4"/>
    <w:rsid w:val="00F7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41DAA341EFF642BEA6638A2517D932">
    <w:name w:val="1D41DAA341EFF642BEA6638A2517D932"/>
    <w:rsid w:val="004D2E0B"/>
  </w:style>
  <w:style w:type="paragraph" w:customStyle="1" w:styleId="ECC9E840CE81744EA52B7DF2258750BD">
    <w:name w:val="ECC9E840CE81744EA52B7DF2258750BD"/>
    <w:rsid w:val="004D2E0B"/>
  </w:style>
  <w:style w:type="paragraph" w:customStyle="1" w:styleId="56B4B0837B54AB45BEFC084E160EDBA5">
    <w:name w:val="56B4B0837B54AB45BEFC084E160EDBA5"/>
    <w:rsid w:val="004D2E0B"/>
  </w:style>
  <w:style w:type="paragraph" w:customStyle="1" w:styleId="D6E8818615CD3B4DB700989EE4A8B857">
    <w:name w:val="D6E8818615CD3B4DB700989EE4A8B857"/>
    <w:rsid w:val="004D2E0B"/>
  </w:style>
  <w:style w:type="paragraph" w:customStyle="1" w:styleId="0CCAD430EE2A1C44AA7965CFF9A9CA61">
    <w:name w:val="0CCAD430EE2A1C44AA7965CFF9A9CA61"/>
    <w:rsid w:val="004D2E0B"/>
  </w:style>
  <w:style w:type="paragraph" w:customStyle="1" w:styleId="FCB5BC1B1D96CB448A85131383AEC0DC">
    <w:name w:val="FCB5BC1B1D96CB448A85131383AEC0DC"/>
    <w:rsid w:val="004D2E0B"/>
  </w:style>
  <w:style w:type="paragraph" w:customStyle="1" w:styleId="F013BE45F314F64FB556849A7EBF232C">
    <w:name w:val="F013BE45F314F64FB556849A7EBF232C"/>
    <w:rsid w:val="004D2E0B"/>
  </w:style>
  <w:style w:type="paragraph" w:customStyle="1" w:styleId="613C4AEE082911439E0F3507F3BA2532">
    <w:name w:val="613C4AEE082911439E0F3507F3BA2532"/>
    <w:rsid w:val="004D2E0B"/>
  </w:style>
  <w:style w:type="paragraph" w:customStyle="1" w:styleId="ED724FED136EF94CB2FDFAF1DC9EE4D8">
    <w:name w:val="ED724FED136EF94CB2FDFAF1DC9EE4D8"/>
    <w:rsid w:val="004D2E0B"/>
  </w:style>
  <w:style w:type="paragraph" w:customStyle="1" w:styleId="DC018E8E843FDD4E9519833181017E55">
    <w:name w:val="DC018E8E843FDD4E9519833181017E55"/>
    <w:rsid w:val="004D2E0B"/>
  </w:style>
  <w:style w:type="paragraph" w:customStyle="1" w:styleId="EB4AF8902C3F2644A9458A53352192F3">
    <w:name w:val="EB4AF8902C3F2644A9458A53352192F3"/>
    <w:rsid w:val="004D2E0B"/>
  </w:style>
  <w:style w:type="paragraph" w:styleId="BodyText">
    <w:name w:val="Body Text"/>
    <w:basedOn w:val="Normal"/>
    <w:link w:val="BodyTextChar"/>
    <w:rsid w:val="004D2E0B"/>
    <w:pPr>
      <w:spacing w:after="200"/>
    </w:pPr>
    <w:rPr>
      <w:rFonts w:eastAsiaTheme="minorHAnsi"/>
      <w:sz w:val="20"/>
      <w:szCs w:val="22"/>
      <w:lang w:eastAsia="en-US"/>
    </w:rPr>
  </w:style>
  <w:style w:type="character" w:customStyle="1" w:styleId="BodyTextChar">
    <w:name w:val="Body Text Char"/>
    <w:basedOn w:val="DefaultParagraphFont"/>
    <w:link w:val="BodyText"/>
    <w:rsid w:val="004D2E0B"/>
    <w:rPr>
      <w:rFonts w:eastAsiaTheme="minorHAnsi"/>
      <w:sz w:val="20"/>
      <w:szCs w:val="22"/>
      <w:lang w:eastAsia="en-US"/>
    </w:rPr>
  </w:style>
  <w:style w:type="paragraph" w:customStyle="1" w:styleId="56B38178D4A9FC4E8FF7C8D970714927">
    <w:name w:val="56B38178D4A9FC4E8FF7C8D970714927"/>
    <w:rsid w:val="004D2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F05B-871A-4DAA-B665-F9E11DE0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Mills</dc:creator>
  <cp:lastModifiedBy>Bridget</cp:lastModifiedBy>
  <cp:revision>3</cp:revision>
  <dcterms:created xsi:type="dcterms:W3CDTF">2014-10-02T16:28:00Z</dcterms:created>
  <dcterms:modified xsi:type="dcterms:W3CDTF">2014-10-03T07:54:00Z</dcterms:modified>
</cp:coreProperties>
</file>