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3" w:rsidRDefault="00F17673">
      <w:pPr>
        <w:pStyle w:val="BodyText"/>
      </w:pPr>
    </w:p>
    <w:p w:rsidR="004367D8" w:rsidRDefault="004367D8" w:rsidP="003E4C15">
      <w:pPr>
        <w:pStyle w:val="BodyText"/>
        <w:jc w:val="center"/>
        <w:rPr>
          <w:b/>
          <w:sz w:val="32"/>
          <w:szCs w:val="32"/>
        </w:rPr>
      </w:pPr>
      <w:r w:rsidRPr="00181526">
        <w:rPr>
          <w:b/>
          <w:sz w:val="32"/>
          <w:szCs w:val="32"/>
        </w:rPr>
        <w:t>STUART JESSOP</w:t>
      </w:r>
    </w:p>
    <w:p w:rsidR="004367D8" w:rsidRPr="00181526" w:rsidRDefault="004367D8" w:rsidP="003E4C15">
      <w:pPr>
        <w:pStyle w:val="BodyText"/>
        <w:jc w:val="center"/>
        <w:rPr>
          <w:b/>
          <w:sz w:val="32"/>
          <w:szCs w:val="32"/>
        </w:rPr>
      </w:pPr>
    </w:p>
    <w:p w:rsidR="004367D8" w:rsidRPr="008809D4" w:rsidRDefault="004367D8" w:rsidP="003E4C15">
      <w:pPr>
        <w:pStyle w:val="BodyText"/>
        <w:jc w:val="center"/>
        <w:rPr>
          <w:b/>
          <w:sz w:val="24"/>
          <w:szCs w:val="24"/>
        </w:rPr>
      </w:pPr>
      <w:r>
        <w:rPr>
          <w:b/>
          <w:sz w:val="24"/>
          <w:szCs w:val="24"/>
        </w:rPr>
        <w:t>PUBLIC LAW</w:t>
      </w:r>
      <w:r>
        <w:rPr>
          <w:b/>
          <w:sz w:val="24"/>
          <w:szCs w:val="24"/>
        </w:rPr>
        <w:t xml:space="preserve"> </w:t>
      </w:r>
      <w:r w:rsidRPr="008809D4">
        <w:rPr>
          <w:b/>
          <w:sz w:val="24"/>
          <w:szCs w:val="24"/>
        </w:rPr>
        <w:t>CV</w:t>
      </w:r>
    </w:p>
    <w:p w:rsidR="004367D8" w:rsidRPr="004367D8" w:rsidRDefault="004367D8" w:rsidP="003E4C15">
      <w:pPr>
        <w:pStyle w:val="BodyText"/>
        <w:rPr>
          <w:szCs w:val="20"/>
        </w:rPr>
      </w:pPr>
    </w:p>
    <w:p w:rsidR="004367D8" w:rsidRPr="004367D8" w:rsidRDefault="004367D8" w:rsidP="003E4C15">
      <w:pPr>
        <w:pStyle w:val="BodyText"/>
        <w:rPr>
          <w:szCs w:val="20"/>
        </w:rPr>
      </w:pPr>
      <w:r w:rsidRPr="004367D8">
        <w:rPr>
          <w:szCs w:val="20"/>
          <w:u w:val="single"/>
        </w:rPr>
        <w:t>Year of Call</w:t>
      </w:r>
      <w:r w:rsidRPr="004367D8">
        <w:rPr>
          <w:szCs w:val="20"/>
        </w:rPr>
        <w:t xml:space="preserve">:    2002     </w:t>
      </w:r>
    </w:p>
    <w:p w:rsidR="004367D8" w:rsidRPr="004367D8" w:rsidRDefault="004367D8" w:rsidP="003E4C15">
      <w:pPr>
        <w:pStyle w:val="BodyText"/>
        <w:rPr>
          <w:szCs w:val="20"/>
        </w:rPr>
      </w:pPr>
      <w:r w:rsidRPr="004367D8">
        <w:rPr>
          <w:szCs w:val="20"/>
          <w:u w:val="single"/>
        </w:rPr>
        <w:t>Contact</w:t>
      </w:r>
      <w:r w:rsidRPr="004367D8">
        <w:rPr>
          <w:szCs w:val="20"/>
        </w:rPr>
        <w:t>:          stuartjessop@6pumpcourt.co.uk</w:t>
      </w:r>
    </w:p>
    <w:p w:rsidR="004367D8" w:rsidRPr="004367D8" w:rsidRDefault="004367D8" w:rsidP="004367D8">
      <w:pPr>
        <w:pStyle w:val="BodyText"/>
        <w:rPr>
          <w:szCs w:val="20"/>
        </w:rPr>
      </w:pPr>
      <w:r w:rsidRPr="004367D8">
        <w:rPr>
          <w:szCs w:val="20"/>
          <w:u w:val="single"/>
        </w:rPr>
        <w:t>Education</w:t>
      </w:r>
      <w:r w:rsidRPr="004367D8">
        <w:rPr>
          <w:szCs w:val="20"/>
        </w:rPr>
        <w:t xml:space="preserve">:  </w:t>
      </w:r>
      <w:r w:rsidRPr="004367D8">
        <w:rPr>
          <w:szCs w:val="20"/>
        </w:rPr>
        <w:tab/>
      </w:r>
      <w:proofErr w:type="spellStart"/>
      <w:r w:rsidRPr="004367D8">
        <w:rPr>
          <w:szCs w:val="20"/>
        </w:rPr>
        <w:t>Bsc</w:t>
      </w:r>
      <w:proofErr w:type="spellEnd"/>
      <w:r w:rsidRPr="004367D8">
        <w:rPr>
          <w:szCs w:val="20"/>
        </w:rPr>
        <w:t xml:space="preserve"> (</w:t>
      </w:r>
      <w:proofErr w:type="spellStart"/>
      <w:r w:rsidRPr="004367D8">
        <w:rPr>
          <w:szCs w:val="20"/>
        </w:rPr>
        <w:t>Hons</w:t>
      </w:r>
      <w:proofErr w:type="spellEnd"/>
      <w:r w:rsidRPr="004367D8">
        <w:rPr>
          <w:szCs w:val="20"/>
        </w:rPr>
        <w:t>) 1st</w:t>
      </w:r>
    </w:p>
    <w:tbl>
      <w:tblPr>
        <w:tblW w:w="0" w:type="auto"/>
        <w:tblInd w:w="108" w:type="dxa"/>
        <w:tblBorders>
          <w:top w:val="single" w:sz="4" w:space="0" w:color="000000" w:themeColor="text1"/>
        </w:tblBorders>
        <w:tblLook w:val="0000" w:firstRow="0" w:lastRow="0" w:firstColumn="0" w:lastColumn="0" w:noHBand="0" w:noVBand="0"/>
      </w:tblPr>
      <w:tblGrid>
        <w:gridCol w:w="10248"/>
      </w:tblGrid>
      <w:tr w:rsidR="00F17673" w:rsidTr="00F17673">
        <w:trPr>
          <w:trHeight w:val="100"/>
        </w:trPr>
        <w:tc>
          <w:tcPr>
            <w:tcW w:w="10248" w:type="dxa"/>
          </w:tcPr>
          <w:p w:rsidR="00F17673" w:rsidRDefault="00F17673">
            <w:pPr>
              <w:pStyle w:val="BodyText"/>
            </w:pPr>
          </w:p>
        </w:tc>
      </w:tr>
      <w:tr w:rsidR="00F17673" w:rsidTr="004367D8">
        <w:tblPrEx>
          <w:tblBorders>
            <w:top w:val="single" w:sz="4" w:space="0" w:color="auto"/>
          </w:tblBorders>
        </w:tblPrEx>
        <w:trPr>
          <w:trHeight w:val="80"/>
        </w:trPr>
        <w:tc>
          <w:tcPr>
            <w:tcW w:w="10248" w:type="dxa"/>
          </w:tcPr>
          <w:p w:rsidR="00F17673" w:rsidRDefault="00F17673">
            <w:pPr>
              <w:pStyle w:val="BodyText"/>
            </w:pPr>
          </w:p>
        </w:tc>
      </w:tr>
    </w:tbl>
    <w:sdt>
      <w:sdtPr>
        <w:id w:val="9459754"/>
        <w:placeholder>
          <w:docPart w:val="56B38178D4A9FC4E8FF7C8D970714927"/>
        </w:placeholder>
      </w:sdtPr>
      <w:sdtEndPr/>
      <w:sdtContent>
        <w:p w:rsidR="001643BF" w:rsidRPr="004367D8" w:rsidRDefault="001643BF" w:rsidP="001643BF">
          <w:pPr>
            <w:spacing w:before="100" w:beforeAutospacing="1" w:after="100" w:afterAutospacing="1" w:line="280" w:lineRule="atLeast"/>
            <w:jc w:val="both"/>
            <w:rPr>
              <w:rFonts w:ascii="Palatino Linotype" w:hAnsi="Palatino Linotype"/>
              <w:b/>
              <w:bCs/>
              <w:sz w:val="24"/>
              <w:szCs w:val="24"/>
              <w:u w:val="single"/>
              <w:lang w:eastAsia="en-GB"/>
            </w:rPr>
          </w:pPr>
          <w:r w:rsidRPr="004367D8">
            <w:rPr>
              <w:rFonts w:ascii="Palatino Linotype" w:hAnsi="Palatino Linotype"/>
              <w:b/>
              <w:bCs/>
              <w:sz w:val="24"/>
              <w:szCs w:val="24"/>
              <w:u w:val="single"/>
              <w:lang w:eastAsia="en-GB"/>
            </w:rPr>
            <w:t>PUBLIC LAW</w:t>
          </w:r>
        </w:p>
        <w:p w:rsidR="001643BF" w:rsidRPr="004367D8" w:rsidRDefault="001643BF" w:rsidP="001643BF">
          <w:pPr>
            <w:spacing w:before="100" w:beforeAutospacing="1" w:after="100" w:afterAutospacing="1" w:line="280" w:lineRule="atLeast"/>
            <w:jc w:val="both"/>
            <w:rPr>
              <w:rFonts w:ascii="Palatino Linotype" w:hAnsi="Palatino Linotype"/>
              <w:bCs/>
              <w:sz w:val="24"/>
              <w:szCs w:val="24"/>
              <w:lang w:eastAsia="en-GB"/>
            </w:rPr>
          </w:pPr>
          <w:r w:rsidRPr="004367D8">
            <w:rPr>
              <w:rFonts w:ascii="Palatino Linotype" w:hAnsi="Palatino Linotype"/>
              <w:bCs/>
              <w:sz w:val="24"/>
              <w:szCs w:val="24"/>
              <w:lang w:eastAsia="en-GB"/>
            </w:rPr>
            <w:t xml:space="preserve">Stuart’s public law expertise covers two main areas; </w:t>
          </w:r>
        </w:p>
        <w:p w:rsidR="001643BF" w:rsidRPr="004367D8" w:rsidRDefault="001643BF" w:rsidP="001643BF">
          <w:pPr>
            <w:spacing w:before="100" w:beforeAutospacing="1" w:after="100" w:afterAutospacing="1" w:line="280" w:lineRule="atLeast"/>
            <w:jc w:val="both"/>
            <w:rPr>
              <w:rFonts w:ascii="Palatino Linotype" w:hAnsi="Palatino Linotype"/>
              <w:bCs/>
              <w:sz w:val="24"/>
              <w:szCs w:val="24"/>
              <w:lang w:eastAsia="en-GB"/>
            </w:rPr>
          </w:pPr>
          <w:r w:rsidRPr="004367D8">
            <w:rPr>
              <w:rFonts w:ascii="Palatino Linotype" w:hAnsi="Palatino Linotype"/>
              <w:bCs/>
              <w:sz w:val="24"/>
              <w:szCs w:val="24"/>
              <w:lang w:eastAsia="en-GB"/>
            </w:rPr>
            <w:t xml:space="preserve">Local Authorities (including licensing), </w:t>
          </w:r>
        </w:p>
        <w:p w:rsidR="001643BF" w:rsidRPr="004367D8" w:rsidRDefault="001643BF" w:rsidP="001643BF">
          <w:pPr>
            <w:spacing w:before="100" w:beforeAutospacing="1" w:after="100" w:afterAutospacing="1" w:line="280" w:lineRule="atLeast"/>
            <w:jc w:val="both"/>
            <w:rPr>
              <w:rFonts w:ascii="Palatino Linotype" w:hAnsi="Palatino Linotype"/>
              <w:bCs/>
              <w:sz w:val="24"/>
              <w:szCs w:val="24"/>
              <w:lang w:eastAsia="en-GB"/>
            </w:rPr>
          </w:pPr>
          <w:r w:rsidRPr="004367D8">
            <w:rPr>
              <w:rFonts w:ascii="Palatino Linotype" w:hAnsi="Palatino Linotype"/>
              <w:bCs/>
              <w:sz w:val="24"/>
              <w:szCs w:val="24"/>
              <w:lang w:eastAsia="en-GB"/>
            </w:rPr>
            <w:t xml:space="preserve">Law Enforcement (including the Police and other enforcement </w:t>
          </w:r>
          <w:proofErr w:type="spellStart"/>
          <w:r w:rsidRPr="004367D8">
            <w:rPr>
              <w:rFonts w:ascii="Palatino Linotype" w:hAnsi="Palatino Linotype"/>
              <w:bCs/>
              <w:sz w:val="24"/>
              <w:szCs w:val="24"/>
              <w:lang w:eastAsia="en-GB"/>
            </w:rPr>
            <w:t>organisations</w:t>
          </w:r>
          <w:proofErr w:type="spellEnd"/>
          <w:r w:rsidRPr="004367D8">
            <w:rPr>
              <w:rFonts w:ascii="Palatino Linotype" w:hAnsi="Palatino Linotype"/>
              <w:bCs/>
              <w:sz w:val="24"/>
              <w:szCs w:val="24"/>
              <w:lang w:eastAsia="en-GB"/>
            </w:rPr>
            <w:t xml:space="preserve"> or regulators).</w:t>
          </w:r>
        </w:p>
        <w:p w:rsidR="001643BF" w:rsidRPr="004367D8" w:rsidRDefault="001643BF" w:rsidP="001643BF">
          <w:pPr>
            <w:spacing w:before="100" w:beforeAutospacing="1" w:after="100" w:afterAutospacing="1" w:line="280" w:lineRule="atLeast"/>
            <w:jc w:val="both"/>
            <w:rPr>
              <w:rFonts w:ascii="Palatino Linotype" w:hAnsi="Palatino Linotype"/>
              <w:bCs/>
              <w:sz w:val="24"/>
              <w:szCs w:val="24"/>
              <w:lang w:eastAsia="en-GB"/>
            </w:rPr>
          </w:pPr>
          <w:r w:rsidRPr="004367D8">
            <w:rPr>
              <w:rFonts w:ascii="Palatino Linotype" w:hAnsi="Palatino Linotype"/>
              <w:bCs/>
              <w:sz w:val="24"/>
              <w:szCs w:val="24"/>
              <w:lang w:eastAsia="en-GB"/>
            </w:rPr>
            <w:t>This work includes Judicial Review and advisory work. Stuart has recently advised the police on their investigatory powers and practices in relation to the investigation of on-line offences, dealing with the legality of their powers and connected issues of data protection and the possible contravention of civil law. Having been a law enforcement investigator in a previou</w:t>
          </w:r>
          <w:r w:rsidR="004367D8">
            <w:rPr>
              <w:rFonts w:ascii="Palatino Linotype" w:hAnsi="Palatino Linotype"/>
              <w:bCs/>
              <w:sz w:val="24"/>
              <w:szCs w:val="24"/>
              <w:lang w:eastAsia="en-GB"/>
            </w:rPr>
            <w:t>s career he has an interest in l</w:t>
          </w:r>
          <w:r w:rsidRPr="004367D8">
            <w:rPr>
              <w:rFonts w:ascii="Palatino Linotype" w:hAnsi="Palatino Linotype"/>
              <w:bCs/>
              <w:sz w:val="24"/>
              <w:szCs w:val="24"/>
              <w:lang w:eastAsia="en-GB"/>
            </w:rPr>
            <w:t xml:space="preserve">aw enforcement methods generally and the laws that enable and constrain them, including RIPA and other powers and is regularly instructed to </w:t>
          </w:r>
          <w:proofErr w:type="gramStart"/>
          <w:r w:rsidRPr="004367D8">
            <w:rPr>
              <w:rFonts w:ascii="Palatino Linotype" w:hAnsi="Palatino Linotype"/>
              <w:bCs/>
              <w:sz w:val="24"/>
              <w:szCs w:val="24"/>
              <w:lang w:eastAsia="en-GB"/>
            </w:rPr>
            <w:t>advise</w:t>
          </w:r>
          <w:proofErr w:type="gramEnd"/>
          <w:r w:rsidRPr="004367D8">
            <w:rPr>
              <w:rFonts w:ascii="Palatino Linotype" w:hAnsi="Palatino Linotype"/>
              <w:bCs/>
              <w:sz w:val="24"/>
              <w:szCs w:val="24"/>
              <w:lang w:eastAsia="en-GB"/>
            </w:rPr>
            <w:t xml:space="preserve"> on them. He has acted in Police Property Act cases, shotgun </w:t>
          </w:r>
          <w:proofErr w:type="spellStart"/>
          <w:r w:rsidRPr="004367D8">
            <w:rPr>
              <w:rFonts w:ascii="Palatino Linotype" w:hAnsi="Palatino Linotype"/>
              <w:bCs/>
              <w:sz w:val="24"/>
              <w:szCs w:val="24"/>
              <w:lang w:eastAsia="en-GB"/>
            </w:rPr>
            <w:t>licenc</w:t>
          </w:r>
          <w:bookmarkStart w:id="0" w:name="_GoBack"/>
          <w:bookmarkEnd w:id="0"/>
          <w:r w:rsidRPr="004367D8">
            <w:rPr>
              <w:rFonts w:ascii="Palatino Linotype" w:hAnsi="Palatino Linotype"/>
              <w:bCs/>
              <w:sz w:val="24"/>
              <w:szCs w:val="24"/>
              <w:lang w:eastAsia="en-GB"/>
            </w:rPr>
            <w:t>e</w:t>
          </w:r>
          <w:proofErr w:type="spellEnd"/>
          <w:r w:rsidRPr="004367D8">
            <w:rPr>
              <w:rFonts w:ascii="Palatino Linotype" w:hAnsi="Palatino Linotype"/>
              <w:bCs/>
              <w:sz w:val="24"/>
              <w:szCs w:val="24"/>
              <w:lang w:eastAsia="en-GB"/>
            </w:rPr>
            <w:t xml:space="preserve"> decisions, cash seizures under POCA and Dangerous Dogs Act offences including advising as to the legality of the seizure and retention of a dog, and advised in police disciplinary cases as well as civil actions against the police. </w:t>
          </w:r>
        </w:p>
        <w:p w:rsidR="001643BF" w:rsidRDefault="001643BF" w:rsidP="001643BF">
          <w:pPr>
            <w:spacing w:before="100" w:beforeAutospacing="1" w:after="100" w:afterAutospacing="1" w:line="280" w:lineRule="atLeast"/>
            <w:jc w:val="both"/>
            <w:rPr>
              <w:rFonts w:ascii="Palatino Linotype" w:hAnsi="Palatino Linotype"/>
              <w:bCs/>
              <w:lang w:eastAsia="en-GB"/>
            </w:rPr>
          </w:pPr>
        </w:p>
        <w:p w:rsidR="00F015DE" w:rsidRDefault="00EA0C0A" w:rsidP="001643BF">
          <w:pPr>
            <w:pStyle w:val="BodyText"/>
          </w:pPr>
        </w:p>
      </w:sdtContent>
    </w:sdt>
    <w:p w:rsidR="00F015DE" w:rsidRDefault="00F015DE"/>
    <w:sectPr w:rsidR="00F015DE" w:rsidSect="00F015DE">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C0A" w:rsidRDefault="00EA0C0A">
      <w:r>
        <w:separator/>
      </w:r>
    </w:p>
  </w:endnote>
  <w:endnote w:type="continuationSeparator" w:id="0">
    <w:p w:rsidR="00EA0C0A" w:rsidRDefault="00EA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DE" w:rsidRDefault="00E6166C">
    <w:pPr>
      <w:pStyle w:val="Footer"/>
    </w:pPr>
    <w:r>
      <w:fldChar w:fldCharType="begin"/>
    </w:r>
    <w:r w:rsidR="001F21FF">
      <w:instrText xml:space="preserve"> Page </w:instrText>
    </w:r>
    <w:r>
      <w:fldChar w:fldCharType="separate"/>
    </w:r>
    <w:r w:rsidR="001643B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C0A" w:rsidRDefault="00EA0C0A">
      <w:r>
        <w:separator/>
      </w:r>
    </w:p>
  </w:footnote>
  <w:footnote w:type="continuationSeparator" w:id="0">
    <w:p w:rsidR="00EA0C0A" w:rsidRDefault="00EA0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6" w:type="dxa"/>
      <w:tblLook w:val="04A0" w:firstRow="1" w:lastRow="0" w:firstColumn="1" w:lastColumn="0" w:noHBand="0" w:noVBand="1"/>
    </w:tblPr>
    <w:tblGrid>
      <w:gridCol w:w="9583"/>
      <w:gridCol w:w="1433"/>
    </w:tblGrid>
    <w:tr w:rsidR="00F015DE" w:rsidTr="00F17673">
      <w:tc>
        <w:tcPr>
          <w:tcW w:w="9583" w:type="dxa"/>
          <w:vAlign w:val="center"/>
        </w:tcPr>
        <w:p w:rsidR="00F17673" w:rsidRDefault="00F17673">
          <w:pPr>
            <w:pStyle w:val="ContactDetails"/>
          </w:pPr>
          <w:r>
            <w:rPr>
              <w:noProof/>
              <w:lang w:val="en-GB" w:eastAsia="en-GB"/>
            </w:rPr>
            <w:drawing>
              <wp:inline distT="0" distB="0" distL="0" distR="0">
                <wp:extent cx="1649410" cy="1365662"/>
                <wp:effectExtent l="0" t="0" r="1905" b="6350"/>
                <wp:docPr id="1" name="Picture 1" descr="Macintosh HD:Users:pete:Desktop:Screen Shot 2014-08-04 at 13.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Desktop:Screen Shot 2014-08-04 at 13.32.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962" cy="1366119"/>
                        </a:xfrm>
                        <a:prstGeom prst="rect">
                          <a:avLst/>
                        </a:prstGeom>
                        <a:noFill/>
                        <a:ln>
                          <a:noFill/>
                        </a:ln>
                      </pic:spPr>
                    </pic:pic>
                  </a:graphicData>
                </a:graphic>
              </wp:inline>
            </w:drawing>
          </w:r>
          <w:r>
            <w:t xml:space="preserve">   </w:t>
          </w:r>
          <w:r w:rsidRPr="00F17673">
            <w:rPr>
              <w:noProof/>
              <w:lang w:val="en-GB" w:eastAsia="en-GB"/>
            </w:rPr>
            <w:drawing>
              <wp:inline distT="0" distB="0" distL="0" distR="0">
                <wp:extent cx="4108862" cy="975928"/>
                <wp:effectExtent l="0" t="0" r="6350" b="0"/>
                <wp:docPr id="2" name="Picture 2" descr="Macintosh HD:Users:pete:Desktop:Screen Shot 2014-08-04 at 13.3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Desktop:Screen Shot 2014-08-04 at 13.35.4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2791" cy="976861"/>
                        </a:xfrm>
                        <a:prstGeom prst="rect">
                          <a:avLst/>
                        </a:prstGeom>
                        <a:noFill/>
                        <a:ln>
                          <a:noFill/>
                        </a:ln>
                      </pic:spPr>
                    </pic:pic>
                  </a:graphicData>
                </a:graphic>
              </wp:inline>
            </w:drawing>
          </w:r>
        </w:p>
      </w:tc>
      <w:tc>
        <w:tcPr>
          <w:tcW w:w="1433" w:type="dxa"/>
          <w:vAlign w:val="center"/>
        </w:tcPr>
        <w:p w:rsidR="00F015DE" w:rsidRDefault="00F015DE">
          <w:pPr>
            <w:pStyle w:val="Initials"/>
          </w:pPr>
        </w:p>
      </w:tc>
    </w:tr>
  </w:tbl>
  <w:p w:rsidR="00F015DE" w:rsidRDefault="00F015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F17673"/>
    <w:rsid w:val="000201D0"/>
    <w:rsid w:val="000B233E"/>
    <w:rsid w:val="000C2619"/>
    <w:rsid w:val="001643BF"/>
    <w:rsid w:val="001F21FF"/>
    <w:rsid w:val="002931BD"/>
    <w:rsid w:val="0037536D"/>
    <w:rsid w:val="004367D8"/>
    <w:rsid w:val="00437BEB"/>
    <w:rsid w:val="004642F2"/>
    <w:rsid w:val="006F5D63"/>
    <w:rsid w:val="0078650F"/>
    <w:rsid w:val="008118CC"/>
    <w:rsid w:val="00822DC6"/>
    <w:rsid w:val="00853D64"/>
    <w:rsid w:val="008809D4"/>
    <w:rsid w:val="00995900"/>
    <w:rsid w:val="00BA551E"/>
    <w:rsid w:val="00D516FC"/>
    <w:rsid w:val="00E43A8E"/>
    <w:rsid w:val="00E6166C"/>
    <w:rsid w:val="00EA0C0A"/>
    <w:rsid w:val="00F015DE"/>
    <w:rsid w:val="00F1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25B6158-1AA7-4415-9236-FDBFD8CB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17673"/>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17673"/>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EB4AF8902C3F2644A9458A53352192F3">
    <w:name w:val="EB4AF8902C3F2644A9458A53352192F3"/>
    <w:rsid w:val="00F17673"/>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B38178D4A9FC4E8FF7C8D970714927"/>
        <w:category>
          <w:name w:val="General"/>
          <w:gallery w:val="placeholder"/>
        </w:category>
        <w:types>
          <w:type w:val="bbPlcHdr"/>
        </w:types>
        <w:behaviors>
          <w:behavior w:val="content"/>
        </w:behaviors>
        <w:guid w:val="{32FBF1EB-EE47-F547-B8A5-04E2D5631F73}"/>
      </w:docPartPr>
      <w:docPartBody>
        <w:p w:rsidR="00B818EC" w:rsidRDefault="004D2E0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4D2E0B" w:rsidRDefault="004D2E0B">
          <w:pPr>
            <w:pStyle w:val="56B38178D4A9FC4E8FF7C8D970714927"/>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2E0B"/>
    <w:rsid w:val="000C503C"/>
    <w:rsid w:val="002506A6"/>
    <w:rsid w:val="004D2E0B"/>
    <w:rsid w:val="00DE09E4"/>
    <w:rsid w:val="00E26BE4"/>
    <w:rsid w:val="00FA7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1DAA341EFF642BEA6638A2517D932">
    <w:name w:val="1D41DAA341EFF642BEA6638A2517D932"/>
    <w:rsid w:val="004D2E0B"/>
  </w:style>
  <w:style w:type="paragraph" w:customStyle="1" w:styleId="ECC9E840CE81744EA52B7DF2258750BD">
    <w:name w:val="ECC9E840CE81744EA52B7DF2258750BD"/>
    <w:rsid w:val="004D2E0B"/>
  </w:style>
  <w:style w:type="paragraph" w:customStyle="1" w:styleId="56B4B0837B54AB45BEFC084E160EDBA5">
    <w:name w:val="56B4B0837B54AB45BEFC084E160EDBA5"/>
    <w:rsid w:val="004D2E0B"/>
  </w:style>
  <w:style w:type="paragraph" w:customStyle="1" w:styleId="D6E8818615CD3B4DB700989EE4A8B857">
    <w:name w:val="D6E8818615CD3B4DB700989EE4A8B857"/>
    <w:rsid w:val="004D2E0B"/>
  </w:style>
  <w:style w:type="paragraph" w:customStyle="1" w:styleId="0CCAD430EE2A1C44AA7965CFF9A9CA61">
    <w:name w:val="0CCAD430EE2A1C44AA7965CFF9A9CA61"/>
    <w:rsid w:val="004D2E0B"/>
  </w:style>
  <w:style w:type="paragraph" w:customStyle="1" w:styleId="FCB5BC1B1D96CB448A85131383AEC0DC">
    <w:name w:val="FCB5BC1B1D96CB448A85131383AEC0DC"/>
    <w:rsid w:val="004D2E0B"/>
  </w:style>
  <w:style w:type="paragraph" w:customStyle="1" w:styleId="F013BE45F314F64FB556849A7EBF232C">
    <w:name w:val="F013BE45F314F64FB556849A7EBF232C"/>
    <w:rsid w:val="004D2E0B"/>
  </w:style>
  <w:style w:type="paragraph" w:customStyle="1" w:styleId="613C4AEE082911439E0F3507F3BA2532">
    <w:name w:val="613C4AEE082911439E0F3507F3BA2532"/>
    <w:rsid w:val="004D2E0B"/>
  </w:style>
  <w:style w:type="paragraph" w:customStyle="1" w:styleId="ED724FED136EF94CB2FDFAF1DC9EE4D8">
    <w:name w:val="ED724FED136EF94CB2FDFAF1DC9EE4D8"/>
    <w:rsid w:val="004D2E0B"/>
  </w:style>
  <w:style w:type="paragraph" w:customStyle="1" w:styleId="DC018E8E843FDD4E9519833181017E55">
    <w:name w:val="DC018E8E843FDD4E9519833181017E55"/>
    <w:rsid w:val="004D2E0B"/>
  </w:style>
  <w:style w:type="paragraph" w:customStyle="1" w:styleId="EB4AF8902C3F2644A9458A53352192F3">
    <w:name w:val="EB4AF8902C3F2644A9458A53352192F3"/>
    <w:rsid w:val="004D2E0B"/>
  </w:style>
  <w:style w:type="paragraph" w:styleId="BodyText">
    <w:name w:val="Body Text"/>
    <w:basedOn w:val="Normal"/>
    <w:link w:val="BodyTextChar"/>
    <w:rsid w:val="004D2E0B"/>
    <w:pPr>
      <w:spacing w:after="200"/>
    </w:pPr>
    <w:rPr>
      <w:rFonts w:eastAsiaTheme="minorHAnsi"/>
      <w:sz w:val="20"/>
      <w:szCs w:val="22"/>
      <w:lang w:eastAsia="en-US"/>
    </w:rPr>
  </w:style>
  <w:style w:type="character" w:customStyle="1" w:styleId="BodyTextChar">
    <w:name w:val="Body Text Char"/>
    <w:basedOn w:val="DefaultParagraphFont"/>
    <w:link w:val="BodyText"/>
    <w:rsid w:val="004D2E0B"/>
    <w:rPr>
      <w:rFonts w:eastAsiaTheme="minorHAnsi"/>
      <w:sz w:val="20"/>
      <w:szCs w:val="22"/>
      <w:lang w:eastAsia="en-US"/>
    </w:rPr>
  </w:style>
  <w:style w:type="paragraph" w:customStyle="1" w:styleId="56B38178D4A9FC4E8FF7C8D970714927">
    <w:name w:val="56B38178D4A9FC4E8FF7C8D970714927"/>
    <w:rsid w:val="004D2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BA244-FBC1-4A71-9993-557401AF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Mills</dc:creator>
  <cp:lastModifiedBy>Bridget</cp:lastModifiedBy>
  <cp:revision>2</cp:revision>
  <dcterms:created xsi:type="dcterms:W3CDTF">2014-10-02T16:30:00Z</dcterms:created>
  <dcterms:modified xsi:type="dcterms:W3CDTF">2014-10-02T16:30:00Z</dcterms:modified>
</cp:coreProperties>
</file>