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3" w:rsidRDefault="00F17673">
      <w:pPr>
        <w:pStyle w:val="BodyText"/>
      </w:pPr>
      <w:bookmarkStart w:id="0" w:name="_GoBack"/>
      <w:bookmarkEnd w:id="0"/>
    </w:p>
    <w:p w:rsidR="00191839" w:rsidRDefault="00191839" w:rsidP="008809D4">
      <w:pPr>
        <w:pStyle w:val="BodyText"/>
        <w:jc w:val="center"/>
        <w:rPr>
          <w:b/>
          <w:sz w:val="32"/>
          <w:szCs w:val="32"/>
        </w:rPr>
      </w:pPr>
      <w:r>
        <w:rPr>
          <w:b/>
          <w:sz w:val="32"/>
          <w:szCs w:val="32"/>
        </w:rPr>
        <w:t>GORDON WIGNALL</w:t>
      </w:r>
    </w:p>
    <w:p w:rsidR="008809D4" w:rsidRPr="00191839" w:rsidRDefault="00191839" w:rsidP="008809D4">
      <w:pPr>
        <w:pStyle w:val="BodyText"/>
        <w:jc w:val="center"/>
        <w:rPr>
          <w:b/>
          <w:sz w:val="24"/>
          <w:szCs w:val="24"/>
          <w:u w:val="single"/>
        </w:rPr>
      </w:pPr>
      <w:r>
        <w:rPr>
          <w:b/>
          <w:sz w:val="24"/>
          <w:szCs w:val="24"/>
          <w:u w:val="single"/>
        </w:rPr>
        <w:br/>
      </w:r>
      <w:r w:rsidR="00797111">
        <w:rPr>
          <w:b/>
          <w:sz w:val="24"/>
          <w:szCs w:val="24"/>
          <w:u w:val="single"/>
        </w:rPr>
        <w:t xml:space="preserve">FINANCIAL SERVICES </w:t>
      </w:r>
      <w:r w:rsidR="008809D4" w:rsidRPr="00191839">
        <w:rPr>
          <w:b/>
          <w:sz w:val="24"/>
          <w:szCs w:val="24"/>
          <w:u w:val="single"/>
        </w:rPr>
        <w:t>CV</w:t>
      </w:r>
    </w:p>
    <w:p w:rsidR="008809D4" w:rsidRDefault="008809D4">
      <w:pPr>
        <w:pStyle w:val="BodyText"/>
      </w:pPr>
    </w:p>
    <w:p w:rsidR="008809D4" w:rsidRDefault="00E37189">
      <w:pPr>
        <w:pStyle w:val="BodyText"/>
      </w:pPr>
      <w:r>
        <w:rPr>
          <w:b/>
          <w:noProof/>
          <w:lang w:val="en-GB" w:eastAsia="en-GB"/>
        </w:rPr>
        <w:drawing>
          <wp:anchor distT="0" distB="0" distL="114300" distR="114300" simplePos="0" relativeHeight="251659264" behindDoc="1" locked="0" layoutInCell="1" allowOverlap="1">
            <wp:simplePos x="0" y="0"/>
            <wp:positionH relativeFrom="column">
              <wp:posOffset>4819650</wp:posOffset>
            </wp:positionH>
            <wp:positionV relativeFrom="paragraph">
              <wp:posOffset>106680</wp:posOffset>
            </wp:positionV>
            <wp:extent cx="847725" cy="1190625"/>
            <wp:effectExtent l="19050" t="0" r="9525" b="0"/>
            <wp:wrapTight wrapText="bothSides">
              <wp:wrapPolygon edited="0">
                <wp:start x="-485" y="0"/>
                <wp:lineTo x="-485" y="21427"/>
                <wp:lineTo x="21843" y="21427"/>
                <wp:lineTo x="21843" y="0"/>
                <wp:lineTo x="-485"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47725" cy="1190625"/>
                    </a:xfrm>
                    <a:prstGeom prst="rect">
                      <a:avLst/>
                    </a:prstGeom>
                    <a:noFill/>
                    <a:ln w="9525">
                      <a:noFill/>
                      <a:miter lim="800000"/>
                      <a:headEnd/>
                      <a:tailEnd/>
                    </a:ln>
                  </pic:spPr>
                </pic:pic>
              </a:graphicData>
            </a:graphic>
          </wp:anchor>
        </w:drawing>
      </w:r>
      <w:r>
        <w:rPr>
          <w:b/>
          <w:noProof/>
          <w:lang w:val="en-GB" w:eastAsia="en-GB"/>
        </w:rPr>
        <w:drawing>
          <wp:anchor distT="0" distB="0" distL="114300" distR="114300" simplePos="0" relativeHeight="251658240" behindDoc="1" locked="0" layoutInCell="1" allowOverlap="1">
            <wp:simplePos x="0" y="0"/>
            <wp:positionH relativeFrom="column">
              <wp:posOffset>5743575</wp:posOffset>
            </wp:positionH>
            <wp:positionV relativeFrom="paragraph">
              <wp:posOffset>106680</wp:posOffset>
            </wp:positionV>
            <wp:extent cx="933450" cy="1247775"/>
            <wp:effectExtent l="19050" t="0" r="0" b="0"/>
            <wp:wrapTight wrapText="bothSides">
              <wp:wrapPolygon edited="0">
                <wp:start x="-441" y="0"/>
                <wp:lineTo x="-441" y="21435"/>
                <wp:lineTo x="21600" y="21435"/>
                <wp:lineTo x="21600" y="0"/>
                <wp:lineTo x="-441" y="0"/>
              </wp:wrapPolygon>
            </wp:wrapTight>
            <wp:docPr id="3" name="Picture 3" descr="ignall, Gord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nall, Gord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anchor>
        </w:drawing>
      </w:r>
      <w:r w:rsidR="00191839" w:rsidRPr="00191839">
        <w:rPr>
          <w:b/>
        </w:rPr>
        <w:t>Year of Call</w:t>
      </w:r>
      <w:r w:rsidR="00191839">
        <w:t>: 1987</w:t>
      </w:r>
      <w:r w:rsidR="008809D4">
        <w:t xml:space="preserve"> </w:t>
      </w:r>
    </w:p>
    <w:p w:rsidR="008809D4" w:rsidRDefault="008809D4">
      <w:pPr>
        <w:pStyle w:val="BodyText"/>
      </w:pPr>
      <w:r w:rsidRPr="00191839">
        <w:rPr>
          <w:b/>
        </w:rPr>
        <w:t>Contact</w:t>
      </w:r>
      <w:r>
        <w:t xml:space="preserve"> </w:t>
      </w:r>
      <w:r w:rsidR="00191839">
        <w:br/>
        <w:t xml:space="preserve">Email: </w:t>
      </w:r>
      <w:hyperlink r:id="rId11" w:history="1">
        <w:r w:rsidR="00191839" w:rsidRPr="006E68D3">
          <w:rPr>
            <w:rStyle w:val="Hyperlink"/>
          </w:rPr>
          <w:t>gordonwignall@6pumpcourt.co.uk</w:t>
        </w:r>
      </w:hyperlink>
      <w:r w:rsidR="00191839">
        <w:br/>
        <w:t>Tel: 020 7797 8400</w:t>
      </w:r>
    </w:p>
    <w:p w:rsidR="00191839" w:rsidRDefault="008809D4" w:rsidP="00191839">
      <w:pPr>
        <w:pStyle w:val="BodyText"/>
      </w:pPr>
      <w:r w:rsidRPr="00191839">
        <w:rPr>
          <w:b/>
        </w:rPr>
        <w:t>Education</w:t>
      </w:r>
      <w:r w:rsidR="00E37189" w:rsidRPr="00E37189">
        <w:rPr>
          <w:b/>
        </w:rPr>
        <w:t xml:space="preserve"> </w:t>
      </w:r>
      <w:r w:rsidR="00191839">
        <w:br/>
        <w:t>MA (University of Oxford)</w:t>
      </w:r>
      <w:r w:rsidR="00531293">
        <w:t xml:space="preserve">; </w:t>
      </w:r>
      <w:r w:rsidR="00191839">
        <w:t>Diploma in EU Law (merit) (King’s College London</w:t>
      </w:r>
      <w:proofErr w:type="gramStart"/>
      <w:r w:rsidR="00191839">
        <w:t>)</w:t>
      </w:r>
      <w:proofErr w:type="gramEnd"/>
      <w:r w:rsidR="00191839">
        <w:br/>
        <w:t>Karmel Scholarship prizewinner (commercial law), Gray’s Inn</w:t>
      </w:r>
      <w:r w:rsidR="00191839">
        <w:br/>
        <w:t>Norman Tapp memorial prizewinner (mooting), Gray’s Inn</w:t>
      </w:r>
    </w:p>
    <w:p w:rsidR="008809D4" w:rsidRPr="00191839" w:rsidRDefault="00191839" w:rsidP="00191839">
      <w:pPr>
        <w:pStyle w:val="BodyText"/>
      </w:pPr>
      <w:r>
        <w:rPr>
          <w:b/>
        </w:rPr>
        <w:t>Appointments</w:t>
      </w:r>
      <w:r>
        <w:rPr>
          <w:b/>
        </w:rPr>
        <w:br/>
      </w:r>
      <w:r>
        <w:t xml:space="preserve">CEDR trained mediator </w:t>
      </w:r>
      <w:r w:rsidR="00797111">
        <w:t>and former fee-paid Employment Judge</w:t>
      </w:r>
      <w:r>
        <w:t xml:space="preserve"> </w:t>
      </w:r>
    </w:p>
    <w:tbl>
      <w:tblPr>
        <w:tblW w:w="0" w:type="auto"/>
        <w:tblInd w:w="108" w:type="dxa"/>
        <w:tblBorders>
          <w:top w:val="single" w:sz="4" w:space="0" w:color="000000" w:themeColor="text1"/>
        </w:tblBorders>
        <w:tblLook w:val="0000" w:firstRow="0" w:lastRow="0" w:firstColumn="0" w:lastColumn="0" w:noHBand="0" w:noVBand="0"/>
      </w:tblPr>
      <w:tblGrid>
        <w:gridCol w:w="10188"/>
      </w:tblGrid>
      <w:tr w:rsidR="00F17673" w:rsidTr="001A3835">
        <w:trPr>
          <w:trHeight w:val="60"/>
        </w:trPr>
        <w:tc>
          <w:tcPr>
            <w:tcW w:w="10218" w:type="dxa"/>
          </w:tcPr>
          <w:p w:rsidR="00F17673" w:rsidRDefault="00F17673">
            <w:pPr>
              <w:pStyle w:val="BodyText"/>
            </w:pPr>
          </w:p>
        </w:tc>
      </w:tr>
    </w:tbl>
    <w:p w:rsidR="00191839" w:rsidRPr="00191839" w:rsidRDefault="00191839" w:rsidP="00531293">
      <w:pPr>
        <w:pStyle w:val="BodyText"/>
        <w:jc w:val="center"/>
        <w:rPr>
          <w:b/>
        </w:rPr>
      </w:pPr>
      <w:r w:rsidRPr="00191839">
        <w:rPr>
          <w:b/>
        </w:rPr>
        <w:t>RECOMMENDATIONS</w:t>
      </w:r>
    </w:p>
    <w:p w:rsidR="00705FED" w:rsidRDefault="00705FED">
      <w:pPr>
        <w:pStyle w:val="BodyText"/>
        <w:rPr>
          <w:i/>
        </w:rPr>
      </w:pPr>
      <w:r w:rsidRPr="00705FED">
        <w:rPr>
          <w:i/>
        </w:rPr>
        <w:t>"A great barrister who is really commercially minded, very bright and good with clients."</w:t>
      </w:r>
    </w:p>
    <w:p w:rsidR="001A3835" w:rsidRDefault="002754F8">
      <w:pPr>
        <w:pStyle w:val="BodyText"/>
        <w:rPr>
          <w:b/>
        </w:rPr>
      </w:pPr>
      <w:r>
        <w:rPr>
          <w:b/>
        </w:rPr>
        <w:t xml:space="preserve">Chambers UK </w:t>
      </w:r>
      <w:proofErr w:type="gramStart"/>
      <w:r>
        <w:rPr>
          <w:b/>
        </w:rPr>
        <w:t>Bar</w:t>
      </w:r>
      <w:proofErr w:type="gramEnd"/>
      <w:r>
        <w:rPr>
          <w:b/>
        </w:rPr>
        <w:t xml:space="preserve"> Directory</w:t>
      </w:r>
      <w:r w:rsidR="00705FED">
        <w:rPr>
          <w:b/>
        </w:rPr>
        <w:t xml:space="preserve"> 2015</w:t>
      </w:r>
      <w:r w:rsidR="00531293">
        <w:rPr>
          <w:b/>
        </w:rPr>
        <w:br/>
      </w:r>
    </w:p>
    <w:tbl>
      <w:tblPr>
        <w:tblpPr w:leftFromText="180" w:rightFromText="180" w:vertAnchor="text" w:tblpX="74" w:tblpY="1"/>
        <w:tblOverlap w:val="never"/>
        <w:tblW w:w="0" w:type="auto"/>
        <w:tblBorders>
          <w:top w:val="single" w:sz="4" w:space="0" w:color="auto"/>
        </w:tblBorders>
        <w:tblLook w:val="0000" w:firstRow="0" w:lastRow="0" w:firstColumn="0" w:lastColumn="0" w:noHBand="0" w:noVBand="0"/>
      </w:tblPr>
      <w:tblGrid>
        <w:gridCol w:w="10296"/>
      </w:tblGrid>
      <w:tr w:rsidR="00F17673" w:rsidTr="001A3835">
        <w:trPr>
          <w:trHeight w:val="60"/>
        </w:trPr>
        <w:tc>
          <w:tcPr>
            <w:tcW w:w="10297" w:type="dxa"/>
          </w:tcPr>
          <w:p w:rsidR="001A3835" w:rsidRDefault="001A3835" w:rsidP="00797111">
            <w:pPr>
              <w:pStyle w:val="BodyText"/>
              <w:jc w:val="center"/>
            </w:pPr>
            <w:r>
              <w:rPr>
                <w:b/>
              </w:rPr>
              <w:br/>
            </w:r>
            <w:r w:rsidR="00797111">
              <w:rPr>
                <w:b/>
              </w:rPr>
              <w:t xml:space="preserve">FINANCIAL SERVICES </w:t>
            </w:r>
            <w:r w:rsidRPr="00191839">
              <w:rPr>
                <w:b/>
              </w:rPr>
              <w:t>PROFILE</w:t>
            </w:r>
            <w:r>
              <w:rPr>
                <w:b/>
              </w:rPr>
              <w:br/>
            </w:r>
          </w:p>
        </w:tc>
      </w:tr>
    </w:tbl>
    <w:p w:rsidR="00797111" w:rsidRPr="00072F57" w:rsidRDefault="00072F57" w:rsidP="00797111">
      <w:pPr>
        <w:pStyle w:val="BodyText"/>
        <w:rPr>
          <w:lang w:val="en-GB"/>
        </w:rPr>
      </w:pPr>
      <w:r w:rsidRPr="00072F57">
        <w:rPr>
          <w:bCs/>
          <w:lang w:val="en-GB"/>
        </w:rPr>
        <w:t>Gordon has a wide and varied practic</w:t>
      </w:r>
      <w:r w:rsidR="00F22722">
        <w:rPr>
          <w:bCs/>
          <w:lang w:val="en-GB"/>
        </w:rPr>
        <w:t xml:space="preserve">e </w:t>
      </w:r>
      <w:r w:rsidR="00797111">
        <w:rPr>
          <w:bCs/>
          <w:lang w:val="en-GB"/>
        </w:rPr>
        <w:t>with a full understanding of FSMA (as amended), the FCA Handbook</w:t>
      </w:r>
      <w:r w:rsidR="005E2762">
        <w:rPr>
          <w:bCs/>
          <w:lang w:val="en-GB"/>
        </w:rPr>
        <w:t xml:space="preserve">, </w:t>
      </w:r>
      <w:r w:rsidR="00797111">
        <w:rPr>
          <w:bCs/>
          <w:lang w:val="en-GB"/>
        </w:rPr>
        <w:t>FOS</w:t>
      </w:r>
      <w:r w:rsidR="005E2762">
        <w:rPr>
          <w:bCs/>
          <w:lang w:val="en-GB"/>
        </w:rPr>
        <w:t xml:space="preserve"> and the FSCS</w:t>
      </w:r>
      <w:r w:rsidR="00797111">
        <w:rPr>
          <w:bCs/>
          <w:lang w:val="en-GB"/>
        </w:rPr>
        <w:t xml:space="preserve">.  </w:t>
      </w:r>
      <w:r w:rsidR="00797111" w:rsidRPr="00072F57">
        <w:rPr>
          <w:bCs/>
          <w:lang w:val="en-GB"/>
        </w:rPr>
        <w:t xml:space="preserve">He is familiar with relevant EU principles </w:t>
      </w:r>
      <w:r w:rsidR="00797111">
        <w:rPr>
          <w:bCs/>
          <w:lang w:val="en-GB"/>
        </w:rPr>
        <w:t xml:space="preserve">and comfortable with reading </w:t>
      </w:r>
      <w:r w:rsidR="007F03CF">
        <w:rPr>
          <w:bCs/>
          <w:lang w:val="en-GB"/>
        </w:rPr>
        <w:t xml:space="preserve">any underlying </w:t>
      </w:r>
      <w:r w:rsidR="00797111">
        <w:rPr>
          <w:bCs/>
          <w:lang w:val="en-GB"/>
        </w:rPr>
        <w:t>EU regulations</w:t>
      </w:r>
      <w:r w:rsidR="00797111" w:rsidRPr="00072F57">
        <w:rPr>
          <w:bCs/>
          <w:lang w:val="en-GB"/>
        </w:rPr>
        <w:t>.</w:t>
      </w:r>
      <w:r w:rsidR="005E2762">
        <w:rPr>
          <w:bCs/>
          <w:lang w:val="en-GB"/>
        </w:rPr>
        <w:t xml:space="preserve">  Regulatory advice necessarily entails going back to MiFiD when considering the Handbook. </w:t>
      </w:r>
    </w:p>
    <w:p w:rsidR="00797111" w:rsidRDefault="00797111" w:rsidP="00072F57">
      <w:pPr>
        <w:pStyle w:val="BodyText"/>
        <w:rPr>
          <w:bCs/>
          <w:lang w:val="en-GB"/>
        </w:rPr>
      </w:pPr>
      <w:r>
        <w:rPr>
          <w:bCs/>
          <w:lang w:val="en-GB"/>
        </w:rPr>
        <w:t>He has advised for and against IFAs and has a special interest in issues concerning limitation periods and in cases concerning mortgages and remortgages</w:t>
      </w:r>
      <w:r w:rsidR="00C835A1">
        <w:rPr>
          <w:bCs/>
          <w:lang w:val="en-GB"/>
        </w:rPr>
        <w:t>.  Judicial review work forms a substantial part of his practice</w:t>
      </w:r>
      <w:r w:rsidR="005E2762">
        <w:rPr>
          <w:bCs/>
          <w:lang w:val="en-GB"/>
        </w:rPr>
        <w:t xml:space="preserve"> as well as civil claims</w:t>
      </w:r>
      <w:r w:rsidR="00C835A1">
        <w:rPr>
          <w:bCs/>
          <w:lang w:val="en-GB"/>
        </w:rPr>
        <w:t>.</w:t>
      </w:r>
    </w:p>
    <w:p w:rsidR="00C835A1" w:rsidRDefault="00C835A1" w:rsidP="00072F57">
      <w:pPr>
        <w:pStyle w:val="BodyText"/>
        <w:rPr>
          <w:lang w:val="en-GB"/>
        </w:rPr>
      </w:pPr>
      <w:r>
        <w:rPr>
          <w:lang w:val="en-GB"/>
        </w:rPr>
        <w:t xml:space="preserve">Gordon advised and acted for claimants in respect of the Arch-Cru redress scheme, and is familiar with group litigation practices and procedures. </w:t>
      </w:r>
    </w:p>
    <w:p w:rsidR="00C835A1" w:rsidRDefault="00C835A1" w:rsidP="00072F57">
      <w:pPr>
        <w:pStyle w:val="BodyText"/>
        <w:rPr>
          <w:lang w:val="en-GB"/>
        </w:rPr>
      </w:pPr>
      <w:r>
        <w:rPr>
          <w:lang w:val="en-GB"/>
        </w:rPr>
        <w:lastRenderedPageBreak/>
        <w:t>He obtained the initial ‘Mareva’ relief for claimants in the Arck claims.</w:t>
      </w:r>
    </w:p>
    <w:p w:rsidR="00C835A1" w:rsidRDefault="00C835A1" w:rsidP="00072F57">
      <w:pPr>
        <w:pStyle w:val="BodyText"/>
        <w:rPr>
          <w:lang w:val="en-GB"/>
        </w:rPr>
      </w:pPr>
      <w:r>
        <w:rPr>
          <w:lang w:val="en-GB"/>
        </w:rPr>
        <w:t>He has acted for various groups of claimants in respect of Harlequin Caribbean properties.</w:t>
      </w:r>
    </w:p>
    <w:p w:rsidR="00C835A1" w:rsidRDefault="00C835A1" w:rsidP="00072F57">
      <w:pPr>
        <w:pStyle w:val="BodyText"/>
        <w:rPr>
          <w:lang w:val="en-GB"/>
        </w:rPr>
      </w:pPr>
      <w:r>
        <w:rPr>
          <w:lang w:val="en-GB"/>
        </w:rPr>
        <w:t>He has acted for claimants aggrieved at the sale of Keydata products.</w:t>
      </w:r>
    </w:p>
    <w:p w:rsidR="005E2762" w:rsidRDefault="005E2762" w:rsidP="00C835A1">
      <w:pPr>
        <w:pStyle w:val="BodyText"/>
        <w:rPr>
          <w:lang w:val="en-GB"/>
        </w:rPr>
      </w:pPr>
      <w:r>
        <w:rPr>
          <w:lang w:val="en-GB"/>
        </w:rPr>
        <w:t xml:space="preserve">Advice has included consideration of the following: COBS, MCOB, DISP, the scope and effect of s.39, FSMA in respect of appointed representatives, the promotion of collective investment schemes, the FSMA Transitional Provisions Mortgage Order 2004 and many other relevant provisions in cases of professional negligence, breach of fiduciary and statutory duties.   </w:t>
      </w:r>
    </w:p>
    <w:p w:rsidR="00C835A1" w:rsidRDefault="00C835A1" w:rsidP="00C835A1">
      <w:pPr>
        <w:pStyle w:val="BodyText"/>
        <w:rPr>
          <w:lang w:val="en-GB"/>
        </w:rPr>
      </w:pPr>
      <w:r>
        <w:rPr>
          <w:lang w:val="en-GB"/>
        </w:rPr>
        <w:t>Gordon is prepared to act directly for claimants on damages-based (contingency) terms, but these agreements are rare and are usually where solicitors cannot act because of the existence of some conflict.</w:t>
      </w:r>
    </w:p>
    <w:sectPr w:rsidR="00C835A1" w:rsidSect="00531293">
      <w:footerReference w:type="default" r:id="rId12"/>
      <w:head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2B" w:rsidRDefault="00F07E2B">
      <w:r>
        <w:separator/>
      </w:r>
    </w:p>
  </w:endnote>
  <w:endnote w:type="continuationSeparator" w:id="0">
    <w:p w:rsidR="00F07E2B" w:rsidRDefault="00F0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E" w:rsidRDefault="00CB3BF9">
    <w:pPr>
      <w:pStyle w:val="Footer"/>
    </w:pPr>
    <w:r>
      <w:fldChar w:fldCharType="begin"/>
    </w:r>
    <w:r w:rsidR="001F21FF">
      <w:instrText xml:space="preserve"> Page </w:instrText>
    </w:r>
    <w:r>
      <w:fldChar w:fldCharType="separate"/>
    </w:r>
    <w:r w:rsidR="003A675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2B" w:rsidRDefault="00F07E2B">
      <w:r>
        <w:separator/>
      </w:r>
    </w:p>
  </w:footnote>
  <w:footnote w:type="continuationSeparator" w:id="0">
    <w:p w:rsidR="00F07E2B" w:rsidRDefault="00F07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ook w:val="04A0" w:firstRow="1" w:lastRow="0" w:firstColumn="1" w:lastColumn="0" w:noHBand="0" w:noVBand="1"/>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17673"/>
    <w:rsid w:val="000201D0"/>
    <w:rsid w:val="00072F57"/>
    <w:rsid w:val="000B233E"/>
    <w:rsid w:val="00145D6E"/>
    <w:rsid w:val="00155C98"/>
    <w:rsid w:val="001734B8"/>
    <w:rsid w:val="00191839"/>
    <w:rsid w:val="001A3835"/>
    <w:rsid w:val="001F21FF"/>
    <w:rsid w:val="002754F8"/>
    <w:rsid w:val="002A49E4"/>
    <w:rsid w:val="003A6758"/>
    <w:rsid w:val="00437BEB"/>
    <w:rsid w:val="004642F2"/>
    <w:rsid w:val="00531293"/>
    <w:rsid w:val="005650CB"/>
    <w:rsid w:val="005E2762"/>
    <w:rsid w:val="006C16AA"/>
    <w:rsid w:val="00705FED"/>
    <w:rsid w:val="0078650F"/>
    <w:rsid w:val="00797111"/>
    <w:rsid w:val="007F03CF"/>
    <w:rsid w:val="008118CC"/>
    <w:rsid w:val="008809D4"/>
    <w:rsid w:val="00924DE5"/>
    <w:rsid w:val="00995900"/>
    <w:rsid w:val="009F146C"/>
    <w:rsid w:val="00A65992"/>
    <w:rsid w:val="00BA551E"/>
    <w:rsid w:val="00BB42C0"/>
    <w:rsid w:val="00BE3FB4"/>
    <w:rsid w:val="00C835A1"/>
    <w:rsid w:val="00CB3BF9"/>
    <w:rsid w:val="00D516FC"/>
    <w:rsid w:val="00E37189"/>
    <w:rsid w:val="00E6166C"/>
    <w:rsid w:val="00E961D6"/>
    <w:rsid w:val="00F015DE"/>
    <w:rsid w:val="00F07E2B"/>
    <w:rsid w:val="00F17673"/>
    <w:rsid w:val="00F22722"/>
    <w:rsid w:val="00F77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3F9132-322A-4CE3-8F8D-E96B8AB9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 w:type="character" w:styleId="Hyperlink">
    <w:name w:val="Hyperlink"/>
    <w:basedOn w:val="DefaultParagraphFont"/>
    <w:uiPriority w:val="99"/>
    <w:unhideWhenUsed/>
    <w:rsid w:val="00191839"/>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donwignall@6pumpcour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hambersandpartners.com/uk-bar/person/231633/gordon-wigna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FE54-65CC-474F-B9F5-AD83586FC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Mountain Software</Company>
  <LinksUpToDate>false</LinksUpToDate>
  <CharactersWithSpaces>2133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Bridget</cp:lastModifiedBy>
  <cp:revision>2</cp:revision>
  <cp:lastPrinted>2015-05-01T09:34:00Z</cp:lastPrinted>
  <dcterms:created xsi:type="dcterms:W3CDTF">2015-10-02T14:23:00Z</dcterms:created>
  <dcterms:modified xsi:type="dcterms:W3CDTF">2015-10-02T14:23:00Z</dcterms:modified>
</cp:coreProperties>
</file>